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D3E44D">
      <w:pPr>
        <w:spacing w:line="360" w:lineRule="auto"/>
        <w:jc w:val="center"/>
        <w:rPr>
          <w:rFonts w:ascii="宋体" w:hAnsi="宋体"/>
          <w:b/>
          <w:snapToGrid w:val="0"/>
          <w:color w:val="auto"/>
          <w:kern w:val="0"/>
          <w:sz w:val="30"/>
          <w:szCs w:val="30"/>
        </w:rPr>
      </w:pPr>
      <w:r>
        <w:rPr>
          <w:rFonts w:hint="eastAsia" w:ascii="宋体" w:hAnsi="宋体"/>
          <w:b/>
          <w:snapToGrid w:val="0"/>
          <w:color w:val="auto"/>
          <w:kern w:val="0"/>
          <w:sz w:val="30"/>
          <w:szCs w:val="30"/>
          <w:lang w:val="en-US" w:eastAsia="zh-CN"/>
        </w:rPr>
        <w:t>施工图</w:t>
      </w:r>
      <w:r>
        <w:rPr>
          <w:rFonts w:hint="eastAsia" w:ascii="宋体" w:hAnsi="宋体"/>
          <w:b/>
          <w:snapToGrid w:val="0"/>
          <w:color w:val="auto"/>
          <w:kern w:val="0"/>
          <w:sz w:val="30"/>
          <w:szCs w:val="30"/>
        </w:rPr>
        <w:t>设计总说明</w:t>
      </w:r>
    </w:p>
    <w:p w14:paraId="687D2830">
      <w:pPr>
        <w:pStyle w:val="3"/>
        <w:numPr>
          <w:ilvl w:val="0"/>
          <w:numId w:val="2"/>
        </w:numPr>
        <w:spacing w:before="0" w:after="0" w:line="360" w:lineRule="auto"/>
        <w:ind w:firstLine="482" w:firstLineChars="200"/>
        <w:jc w:val="left"/>
      </w:pPr>
      <w:r>
        <w:rPr>
          <w:rFonts w:hint="eastAsia" w:ascii="宋体" w:hAnsi="宋体" w:eastAsia="宋体"/>
          <w:color w:val="auto"/>
          <w:sz w:val="24"/>
          <w:szCs w:val="24"/>
        </w:rPr>
        <w:t>工程概况</w:t>
      </w:r>
    </w:p>
    <w:p w14:paraId="06E25877">
      <w:pPr>
        <w:spacing w:line="360" w:lineRule="auto"/>
        <w:ind w:firstLine="480" w:firstLineChars="200"/>
        <w:jc w:val="left"/>
        <w:rPr>
          <w:rFonts w:hint="eastAsia" w:ascii="Times New Roman" w:hAnsi="Times New Roman" w:eastAsia="宋体"/>
          <w:snapToGrid w:val="0"/>
          <w:color w:val="auto"/>
          <w:kern w:val="0"/>
          <w:sz w:val="24"/>
          <w:szCs w:val="24"/>
          <w:lang w:val="en-US" w:eastAsia="zh-CN"/>
        </w:rPr>
      </w:pPr>
      <w:r>
        <w:rPr>
          <w:rFonts w:hint="eastAsia" w:ascii="Times New Roman" w:hAnsi="Times New Roman"/>
          <w:snapToGrid w:val="0"/>
          <w:color w:val="auto"/>
          <w:kern w:val="0"/>
          <w:sz w:val="24"/>
          <w:szCs w:val="24"/>
          <w:lang w:val="en-US" w:eastAsia="zh-CN"/>
        </w:rPr>
        <w:t>本项目位于</w:t>
      </w:r>
      <w:r>
        <w:rPr>
          <w:rFonts w:hint="eastAsia" w:ascii="宋体" w:hAnsi="宋体" w:eastAsia="宋体" w:cs="宋体"/>
          <w:color w:val="000000"/>
          <w:kern w:val="0"/>
          <w:sz w:val="24"/>
          <w:szCs w:val="24"/>
          <w:lang w:val="en-US" w:eastAsia="zh-CN" w:bidi="ar"/>
        </w:rPr>
        <w:t>桂林市象山区平山新村</w:t>
      </w:r>
      <w:r>
        <w:rPr>
          <w:rFonts w:hint="eastAsia" w:ascii="Times New Roman" w:hAnsi="Times New Roman"/>
          <w:snapToGrid w:val="0"/>
          <w:color w:val="auto"/>
          <w:kern w:val="0"/>
          <w:sz w:val="24"/>
          <w:szCs w:val="24"/>
          <w:lang w:val="en-US" w:eastAsia="zh-CN"/>
        </w:rPr>
        <w:t>，</w:t>
      </w:r>
      <w:r>
        <w:rPr>
          <w:rFonts w:hint="eastAsia"/>
          <w:snapToGrid w:val="0"/>
          <w:color w:val="auto"/>
          <w:kern w:val="0"/>
          <w:sz w:val="24"/>
          <w:szCs w:val="24"/>
          <w:lang w:val="en-US" w:eastAsia="zh-CN"/>
        </w:rPr>
        <w:t>村内道路四通八达，</w:t>
      </w:r>
      <w:r>
        <w:rPr>
          <w:rFonts w:hint="eastAsia" w:ascii="Times New Roman" w:hAnsi="Times New Roman"/>
          <w:snapToGrid w:val="0"/>
          <w:color w:val="auto"/>
          <w:kern w:val="0"/>
          <w:sz w:val="24"/>
          <w:szCs w:val="24"/>
          <w:lang w:val="en-US" w:eastAsia="zh-CN"/>
        </w:rPr>
        <w:t>交通便利，具备良好的施工条件。</w:t>
      </w:r>
      <w:r>
        <w:rPr>
          <w:rFonts w:ascii="Times New Roman" w:hAnsi="Times New Roman"/>
          <w:color w:val="auto"/>
          <w:sz w:val="24"/>
          <w:szCs w:val="22"/>
          <w:highlight w:val="none"/>
          <w:lang w:val="zh-CN"/>
        </w:rPr>
        <w:t>建设农村</w:t>
      </w:r>
      <w:r>
        <w:rPr>
          <w:rFonts w:hint="eastAsia" w:ascii="Times New Roman" w:hAnsi="Times New Roman"/>
          <w:color w:val="auto"/>
          <w:sz w:val="24"/>
          <w:szCs w:val="22"/>
          <w:highlight w:val="none"/>
          <w:lang w:val="zh-CN"/>
        </w:rPr>
        <w:t>相对</w:t>
      </w:r>
      <w:r>
        <w:rPr>
          <w:rFonts w:hint="eastAsia" w:ascii="Times New Roman" w:hAnsi="Times New Roman"/>
          <w:color w:val="auto"/>
          <w:sz w:val="24"/>
          <w:szCs w:val="22"/>
          <w:highlight w:val="none"/>
          <w:lang w:eastAsia="zh-CN"/>
        </w:rPr>
        <w:t>集中式污水处理站</w:t>
      </w:r>
      <w:r>
        <w:rPr>
          <w:rFonts w:hint="eastAsia"/>
          <w:color w:val="auto"/>
          <w:sz w:val="24"/>
          <w:szCs w:val="22"/>
          <w:highlight w:val="none"/>
          <w:lang w:val="en-US" w:eastAsia="zh-CN"/>
        </w:rPr>
        <w:t>1</w:t>
      </w:r>
      <w:r>
        <w:rPr>
          <w:rFonts w:ascii="Times New Roman" w:hAnsi="Times New Roman"/>
          <w:color w:val="auto"/>
          <w:sz w:val="24"/>
          <w:szCs w:val="22"/>
          <w:highlight w:val="none"/>
          <w:lang w:val="zh-CN"/>
        </w:rPr>
        <w:t>座</w:t>
      </w:r>
      <w:r>
        <w:rPr>
          <w:rFonts w:hint="eastAsia" w:ascii="Times New Roman" w:hAnsi="Times New Roman"/>
          <w:color w:val="auto"/>
          <w:sz w:val="24"/>
          <w:szCs w:val="22"/>
          <w:highlight w:val="none"/>
          <w:lang w:val="zh-CN"/>
        </w:rPr>
        <w:t>，处理规模为</w:t>
      </w:r>
      <w:r>
        <w:rPr>
          <w:rFonts w:hint="eastAsia"/>
          <w:color w:val="auto"/>
          <w:sz w:val="24"/>
          <w:szCs w:val="22"/>
          <w:highlight w:val="none"/>
          <w:lang w:val="en-US" w:eastAsia="zh-CN"/>
        </w:rPr>
        <w:t>60</w:t>
      </w:r>
      <w:r>
        <w:rPr>
          <w:rFonts w:ascii="Times New Roman" w:hAnsi="Times New Roman"/>
          <w:color w:val="auto"/>
          <w:sz w:val="24"/>
          <w:szCs w:val="22"/>
          <w:highlight w:val="none"/>
        </w:rPr>
        <w:t>m</w:t>
      </w:r>
      <w:r>
        <w:rPr>
          <w:rFonts w:ascii="Times New Roman" w:hAnsi="Times New Roman"/>
          <w:color w:val="auto"/>
          <w:sz w:val="24"/>
          <w:szCs w:val="22"/>
          <w:highlight w:val="none"/>
          <w:vertAlign w:val="superscript"/>
        </w:rPr>
        <w:t>3</w:t>
      </w:r>
      <w:r>
        <w:rPr>
          <w:rFonts w:ascii="Times New Roman" w:hAnsi="Times New Roman"/>
          <w:color w:val="auto"/>
          <w:sz w:val="24"/>
          <w:szCs w:val="22"/>
          <w:highlight w:val="none"/>
        </w:rPr>
        <w:t>/d</w:t>
      </w:r>
      <w:r>
        <w:rPr>
          <w:rFonts w:hint="eastAsia"/>
          <w:color w:val="auto"/>
          <w:sz w:val="24"/>
          <w:szCs w:val="22"/>
          <w:highlight w:val="none"/>
          <w:lang w:eastAsia="zh-CN"/>
        </w:rPr>
        <w:t>，</w:t>
      </w:r>
      <w:r>
        <w:rPr>
          <w:rFonts w:hint="eastAsia" w:ascii="Times New Roman" w:hAnsi="Times New Roman"/>
          <w:snapToGrid w:val="0"/>
          <w:color w:val="auto"/>
          <w:kern w:val="0"/>
          <w:sz w:val="24"/>
          <w:szCs w:val="24"/>
          <w:lang w:val="en-US" w:eastAsia="zh-CN"/>
        </w:rPr>
        <w:t>采用的工艺为</w:t>
      </w:r>
      <w:r>
        <w:rPr>
          <w:rFonts w:ascii="Times New Roman" w:hAnsi="Times New Roman"/>
          <w:color w:val="auto"/>
          <w:sz w:val="24"/>
          <w:szCs w:val="22"/>
          <w:highlight w:val="none"/>
        </w:rPr>
        <w:t>FBBR固定床生物膜工艺</w:t>
      </w:r>
      <w:r>
        <w:rPr>
          <w:rFonts w:hint="eastAsia"/>
          <w:color w:val="auto"/>
          <w:sz w:val="24"/>
          <w:szCs w:val="22"/>
          <w:highlight w:val="none"/>
          <w:lang w:eastAsia="zh-CN"/>
        </w:rPr>
        <w:t>。</w:t>
      </w:r>
    </w:p>
    <w:p w14:paraId="0D862CDE">
      <w:pPr>
        <w:pStyle w:val="3"/>
        <w:numPr>
          <w:ilvl w:val="0"/>
          <w:numId w:val="2"/>
        </w:numPr>
        <w:spacing w:before="0" w:after="0" w:line="360" w:lineRule="auto"/>
        <w:ind w:firstLine="482" w:firstLineChars="200"/>
        <w:jc w:val="left"/>
        <w:rPr>
          <w:rFonts w:ascii="宋体" w:hAnsi="宋体" w:eastAsia="宋体"/>
          <w:color w:val="auto"/>
          <w:sz w:val="24"/>
          <w:szCs w:val="24"/>
        </w:rPr>
      </w:pPr>
      <w:r>
        <w:rPr>
          <w:rFonts w:hint="eastAsia" w:ascii="宋体" w:hAnsi="宋体" w:eastAsia="宋体"/>
          <w:color w:val="auto"/>
          <w:sz w:val="24"/>
          <w:szCs w:val="24"/>
        </w:rPr>
        <w:t>设计依据及参考资料</w:t>
      </w:r>
    </w:p>
    <w:p w14:paraId="148E8F83">
      <w:pPr>
        <w:pStyle w:val="71"/>
        <w:numPr>
          <w:ilvl w:val="0"/>
          <w:numId w:val="3"/>
        </w:numPr>
        <w:snapToGrid/>
        <w:ind w:firstLine="480"/>
        <w:rPr>
          <w:rFonts w:ascii="宋体" w:hAnsi="宋体"/>
          <w:color w:val="auto"/>
        </w:rPr>
      </w:pPr>
      <w:r>
        <w:rPr>
          <w:rFonts w:hint="eastAsia" w:ascii="宋体" w:hAnsi="宋体"/>
          <w:color w:val="auto"/>
        </w:rPr>
        <w:t>《室外排水设计标准》（GB 50014-2021）；</w:t>
      </w:r>
    </w:p>
    <w:p w14:paraId="416F377F">
      <w:pPr>
        <w:pStyle w:val="71"/>
        <w:numPr>
          <w:ilvl w:val="0"/>
          <w:numId w:val="3"/>
        </w:numPr>
        <w:snapToGrid/>
        <w:ind w:firstLine="480"/>
        <w:rPr>
          <w:rFonts w:ascii="宋体" w:hAnsi="宋体"/>
          <w:color w:val="auto"/>
        </w:rPr>
      </w:pPr>
      <w:r>
        <w:rPr>
          <w:rFonts w:hint="eastAsia" w:ascii="宋体" w:hAnsi="宋体"/>
          <w:color w:val="auto"/>
        </w:rPr>
        <w:t>《镇（乡）村排水工程技术规范》（CJJ 124-2008）；</w:t>
      </w:r>
    </w:p>
    <w:p w14:paraId="3DBCE8E3">
      <w:pPr>
        <w:pStyle w:val="71"/>
        <w:numPr>
          <w:ilvl w:val="0"/>
          <w:numId w:val="3"/>
        </w:numPr>
        <w:snapToGrid/>
        <w:ind w:firstLine="480"/>
        <w:rPr>
          <w:rFonts w:ascii="宋体" w:hAnsi="宋体"/>
          <w:color w:val="auto"/>
        </w:rPr>
      </w:pPr>
      <w:r>
        <w:rPr>
          <w:rFonts w:hint="eastAsia" w:ascii="宋体" w:hAnsi="宋体"/>
          <w:color w:val="auto"/>
        </w:rPr>
        <w:t>《给水排水管道工程施工及验收规范》（GB 50268-2008）；</w:t>
      </w:r>
    </w:p>
    <w:p w14:paraId="10605237">
      <w:pPr>
        <w:pStyle w:val="71"/>
        <w:numPr>
          <w:ilvl w:val="0"/>
          <w:numId w:val="3"/>
        </w:numPr>
        <w:snapToGrid/>
        <w:ind w:firstLine="480"/>
        <w:rPr>
          <w:rFonts w:ascii="宋体" w:hAnsi="宋体"/>
          <w:color w:val="auto"/>
        </w:rPr>
      </w:pPr>
      <w:r>
        <w:rPr>
          <w:rFonts w:hint="eastAsia" w:ascii="宋体" w:hAnsi="宋体"/>
          <w:color w:val="auto"/>
        </w:rPr>
        <w:t>《给水排水工程管道结构设计规范》（GB 50332-2002）；</w:t>
      </w:r>
    </w:p>
    <w:p w14:paraId="4D31BF06">
      <w:pPr>
        <w:pStyle w:val="71"/>
        <w:numPr>
          <w:ilvl w:val="0"/>
          <w:numId w:val="3"/>
        </w:numPr>
        <w:snapToGrid/>
        <w:ind w:firstLine="480"/>
        <w:rPr>
          <w:rFonts w:ascii="宋体" w:hAnsi="宋体"/>
          <w:color w:val="auto"/>
        </w:rPr>
      </w:pPr>
      <w:r>
        <w:rPr>
          <w:rFonts w:hint="eastAsia" w:ascii="宋体" w:hAnsi="宋体"/>
          <w:color w:val="auto"/>
        </w:rPr>
        <w:t>《给水排水构筑物工程施工及验收规范》（GB 50141-2008）；</w:t>
      </w:r>
    </w:p>
    <w:p w14:paraId="5C887477">
      <w:pPr>
        <w:pStyle w:val="71"/>
        <w:numPr>
          <w:ilvl w:val="0"/>
          <w:numId w:val="3"/>
        </w:numPr>
        <w:snapToGrid/>
        <w:ind w:firstLine="480"/>
        <w:rPr>
          <w:rFonts w:ascii="宋体" w:hAnsi="宋体"/>
          <w:color w:val="auto"/>
        </w:rPr>
      </w:pPr>
      <w:r>
        <w:rPr>
          <w:rFonts w:hint="eastAsia" w:ascii="宋体" w:hAnsi="宋体"/>
          <w:color w:val="auto"/>
        </w:rPr>
        <w:t>《城市排水工程规划规范》（GB 50318-2017）；</w:t>
      </w:r>
    </w:p>
    <w:p w14:paraId="689876B6">
      <w:pPr>
        <w:pStyle w:val="71"/>
        <w:snapToGrid/>
        <w:ind w:firstLine="480"/>
        <w:jc w:val="left"/>
        <w:rPr>
          <w:rFonts w:ascii="宋体" w:hAnsi="宋体"/>
          <w:color w:val="auto"/>
        </w:rPr>
      </w:pPr>
      <w:r>
        <w:rPr>
          <w:rFonts w:hint="eastAsia" w:ascii="宋体" w:hAnsi="宋体"/>
          <w:color w:val="auto"/>
        </w:rPr>
        <w:t>7、《城镇给水排水技术规范》（GB 50788-2012）；</w:t>
      </w:r>
    </w:p>
    <w:p w14:paraId="56F3968E">
      <w:pPr>
        <w:pStyle w:val="71"/>
        <w:snapToGrid/>
        <w:ind w:firstLine="480"/>
        <w:jc w:val="left"/>
        <w:rPr>
          <w:rFonts w:ascii="宋体" w:hAnsi="宋体"/>
          <w:color w:val="auto"/>
        </w:rPr>
      </w:pPr>
      <w:r>
        <w:rPr>
          <w:rFonts w:hint="eastAsia" w:ascii="宋体" w:hAnsi="宋体"/>
          <w:color w:val="auto"/>
        </w:rPr>
        <w:t>8、《室外给水排水和燃气热力工程抗震设计规范》（GB 50032-2003）；</w:t>
      </w:r>
    </w:p>
    <w:p w14:paraId="3019189E">
      <w:pPr>
        <w:pStyle w:val="71"/>
        <w:snapToGrid/>
        <w:ind w:firstLine="480"/>
        <w:jc w:val="left"/>
        <w:rPr>
          <w:rFonts w:ascii="宋体" w:hAnsi="宋体"/>
          <w:color w:val="auto"/>
        </w:rPr>
      </w:pPr>
      <w:r>
        <w:rPr>
          <w:rFonts w:hint="eastAsia" w:ascii="宋体" w:hAnsi="宋体"/>
          <w:color w:val="auto"/>
        </w:rPr>
        <w:t>9、《民用建筑节水设计标准》（GB 50555-2010）；</w:t>
      </w:r>
    </w:p>
    <w:p w14:paraId="2BEF26B7">
      <w:pPr>
        <w:pStyle w:val="71"/>
        <w:snapToGrid/>
        <w:ind w:firstLine="480"/>
        <w:jc w:val="left"/>
        <w:rPr>
          <w:rFonts w:ascii="宋体" w:hAnsi="宋体"/>
          <w:color w:val="auto"/>
        </w:rPr>
      </w:pPr>
      <w:r>
        <w:rPr>
          <w:rFonts w:hint="eastAsia" w:ascii="宋体" w:hAnsi="宋体"/>
          <w:color w:val="auto"/>
        </w:rPr>
        <w:t>10、《建筑给水排水设计</w:t>
      </w:r>
      <w:r>
        <w:rPr>
          <w:rFonts w:hint="eastAsia" w:ascii="宋体" w:hAnsi="宋体"/>
          <w:color w:val="auto"/>
          <w:lang w:val="en-US" w:eastAsia="zh-CN"/>
        </w:rPr>
        <w:t>标准</w:t>
      </w:r>
      <w:r>
        <w:rPr>
          <w:rFonts w:hint="eastAsia" w:ascii="宋体" w:hAnsi="宋体"/>
          <w:color w:val="auto"/>
        </w:rPr>
        <w:t>》（GB 50015-2019）；</w:t>
      </w:r>
    </w:p>
    <w:p w14:paraId="49418B2B">
      <w:pPr>
        <w:pStyle w:val="71"/>
        <w:snapToGrid/>
        <w:ind w:firstLine="480"/>
        <w:jc w:val="left"/>
        <w:rPr>
          <w:rFonts w:hint="eastAsia" w:ascii="宋体" w:hAnsi="宋体"/>
          <w:color w:val="auto"/>
        </w:rPr>
      </w:pPr>
      <w:r>
        <w:rPr>
          <w:rFonts w:hint="eastAsia" w:ascii="宋体" w:hAnsi="宋体"/>
          <w:color w:val="auto"/>
          <w:lang w:val="en-US" w:eastAsia="zh-CN"/>
        </w:rPr>
        <w:t>11、《</w:t>
      </w:r>
      <w:r>
        <w:rPr>
          <w:rFonts w:hint="eastAsia" w:ascii="宋体" w:hAnsi="宋体"/>
          <w:color w:val="auto"/>
        </w:rPr>
        <w:t>农村生活污水处理设施水污染物排放标准</w:t>
      </w:r>
      <w:r>
        <w:rPr>
          <w:rFonts w:hint="eastAsia" w:ascii="宋体" w:hAnsi="宋体"/>
          <w:color w:val="auto"/>
          <w:lang w:val="en-US" w:eastAsia="zh-CN"/>
        </w:rPr>
        <w:t>》（</w:t>
      </w:r>
      <w:r>
        <w:rPr>
          <w:rFonts w:hint="eastAsia" w:ascii="宋体" w:hAnsi="宋体"/>
          <w:color w:val="auto"/>
        </w:rPr>
        <w:t>DB45_2413-2021</w:t>
      </w:r>
      <w:r>
        <w:rPr>
          <w:rFonts w:hint="eastAsia" w:ascii="宋体" w:hAnsi="宋体"/>
          <w:color w:val="auto"/>
          <w:lang w:val="en-US" w:eastAsia="zh-CN"/>
        </w:rPr>
        <w:t>）</w:t>
      </w:r>
    </w:p>
    <w:p w14:paraId="3E5CF177">
      <w:pPr>
        <w:pStyle w:val="71"/>
        <w:snapToGrid/>
        <w:ind w:firstLine="480"/>
        <w:jc w:val="left"/>
        <w:rPr>
          <w:rFonts w:ascii="宋体" w:hAnsi="宋体"/>
          <w:color w:val="auto"/>
        </w:rPr>
      </w:pPr>
      <w:r>
        <w:rPr>
          <w:rFonts w:hint="eastAsia" w:ascii="宋体" w:hAnsi="宋体"/>
          <w:color w:val="auto"/>
        </w:rPr>
        <w:t>12、《市政公用工程设计文件编制深度规定》（2013年版）；</w:t>
      </w:r>
    </w:p>
    <w:p w14:paraId="362F0DD6">
      <w:pPr>
        <w:pStyle w:val="71"/>
        <w:snapToGrid/>
        <w:ind w:firstLine="480"/>
        <w:jc w:val="left"/>
        <w:rPr>
          <w:rFonts w:ascii="宋体" w:hAnsi="宋体"/>
          <w:snapToGrid w:val="0"/>
          <w:color w:val="auto"/>
          <w:kern w:val="0"/>
        </w:rPr>
      </w:pPr>
      <w:r>
        <w:rPr>
          <w:rFonts w:hint="eastAsia" w:ascii="宋体" w:hAnsi="宋体"/>
          <w:color w:val="auto"/>
        </w:rPr>
        <w:t>13、</w:t>
      </w:r>
      <w:r>
        <w:rPr>
          <w:rFonts w:hint="eastAsia" w:ascii="宋体" w:hAnsi="宋体"/>
          <w:snapToGrid w:val="0"/>
          <w:color w:val="auto"/>
          <w:kern w:val="0"/>
        </w:rPr>
        <w:t>《检查井盖》(GB/T23858-2009)；</w:t>
      </w:r>
    </w:p>
    <w:p w14:paraId="2716617A">
      <w:pPr>
        <w:pStyle w:val="71"/>
        <w:snapToGrid/>
        <w:ind w:firstLine="480"/>
        <w:jc w:val="left"/>
        <w:rPr>
          <w:rFonts w:ascii="宋体" w:hAnsi="宋体"/>
          <w:snapToGrid w:val="0"/>
          <w:color w:val="auto"/>
          <w:kern w:val="0"/>
        </w:rPr>
      </w:pPr>
      <w:r>
        <w:rPr>
          <w:rFonts w:hint="eastAsia" w:ascii="宋体" w:hAnsi="宋体"/>
          <w:snapToGrid w:val="0"/>
          <w:color w:val="auto"/>
          <w:kern w:val="0"/>
        </w:rPr>
        <w:t>14、《铸铁检查井盖》(CJ/T511-2017)；</w:t>
      </w:r>
    </w:p>
    <w:p w14:paraId="47C58D2A">
      <w:pPr>
        <w:pStyle w:val="71"/>
        <w:snapToGrid/>
        <w:ind w:firstLine="480"/>
        <w:rPr>
          <w:rFonts w:ascii="宋体" w:hAnsi="宋体"/>
          <w:color w:val="auto"/>
        </w:rPr>
      </w:pPr>
      <w:r>
        <w:rPr>
          <w:rFonts w:hint="eastAsia" w:ascii="宋体" w:hAnsi="宋体"/>
          <w:color w:val="auto"/>
        </w:rPr>
        <w:t>15、《</w:t>
      </w:r>
      <w:r>
        <w:rPr>
          <w:rFonts w:ascii="宋体" w:hAnsi="宋体"/>
          <w:color w:val="auto"/>
        </w:rPr>
        <w:t>市政排水管道工程及附属设施</w:t>
      </w:r>
      <w:r>
        <w:rPr>
          <w:rFonts w:hint="eastAsia" w:ascii="宋体" w:hAnsi="宋体"/>
          <w:color w:val="auto"/>
        </w:rPr>
        <w:t>》（06MS201）；</w:t>
      </w:r>
    </w:p>
    <w:p w14:paraId="7476C070">
      <w:pPr>
        <w:pStyle w:val="71"/>
        <w:snapToGrid/>
        <w:ind w:firstLine="480"/>
        <w:rPr>
          <w:rFonts w:ascii="宋体" w:hAnsi="宋体"/>
          <w:color w:val="auto"/>
        </w:rPr>
      </w:pPr>
      <w:r>
        <w:rPr>
          <w:rFonts w:hint="eastAsia" w:ascii="宋体" w:hAnsi="宋体"/>
          <w:color w:val="auto"/>
        </w:rPr>
        <w:t>16、《钢筋混凝土及砖砌排水检查井》（20S515）；</w:t>
      </w:r>
    </w:p>
    <w:p w14:paraId="50DE0C4D">
      <w:pPr>
        <w:pStyle w:val="71"/>
        <w:snapToGrid/>
        <w:ind w:firstLine="480"/>
        <w:rPr>
          <w:rFonts w:ascii="宋体" w:hAnsi="宋体"/>
          <w:color w:val="auto"/>
          <w:highlight w:val="none"/>
        </w:rPr>
      </w:pPr>
      <w:r>
        <w:rPr>
          <w:rFonts w:hint="eastAsia" w:ascii="宋体" w:hAnsi="宋体"/>
          <w:color w:val="auto"/>
          <w:highlight w:val="none"/>
        </w:rPr>
        <w:t>1</w:t>
      </w:r>
      <w:r>
        <w:rPr>
          <w:rFonts w:ascii="宋体" w:hAnsi="宋体"/>
          <w:color w:val="auto"/>
          <w:highlight w:val="none"/>
        </w:rPr>
        <w:t>7</w:t>
      </w:r>
      <w:r>
        <w:rPr>
          <w:rFonts w:hint="eastAsia" w:ascii="宋体" w:hAnsi="宋体"/>
          <w:color w:val="auto"/>
          <w:highlight w:val="none"/>
        </w:rPr>
        <w:t>、《小城镇污水处理建设标准》建标1</w:t>
      </w:r>
      <w:r>
        <w:rPr>
          <w:rFonts w:ascii="宋体" w:hAnsi="宋体"/>
          <w:color w:val="auto"/>
          <w:highlight w:val="none"/>
        </w:rPr>
        <w:t>48</w:t>
      </w:r>
      <w:r>
        <w:rPr>
          <w:rFonts w:hint="eastAsia" w:ascii="宋体" w:hAnsi="宋体"/>
          <w:color w:val="auto"/>
          <w:highlight w:val="none"/>
        </w:rPr>
        <w:t>-</w:t>
      </w:r>
      <w:r>
        <w:rPr>
          <w:rFonts w:ascii="宋体" w:hAnsi="宋体"/>
          <w:color w:val="auto"/>
          <w:highlight w:val="none"/>
        </w:rPr>
        <w:t>2010</w:t>
      </w:r>
      <w:r>
        <w:rPr>
          <w:rFonts w:hint="eastAsia" w:ascii="宋体" w:hAnsi="宋体"/>
          <w:color w:val="auto"/>
          <w:highlight w:val="none"/>
        </w:rPr>
        <w:t>；</w:t>
      </w:r>
    </w:p>
    <w:p w14:paraId="540F8373">
      <w:pPr>
        <w:pStyle w:val="71"/>
        <w:snapToGrid/>
        <w:ind w:firstLine="480"/>
        <w:rPr>
          <w:rFonts w:ascii="宋体" w:hAnsi="宋体"/>
          <w:color w:val="auto"/>
          <w:highlight w:val="none"/>
        </w:rPr>
      </w:pPr>
      <w:r>
        <w:rPr>
          <w:rFonts w:hint="eastAsia" w:ascii="宋体" w:hAnsi="宋体"/>
          <w:color w:val="auto"/>
          <w:highlight w:val="none"/>
        </w:rPr>
        <w:t>1</w:t>
      </w:r>
      <w:r>
        <w:rPr>
          <w:rFonts w:ascii="宋体" w:hAnsi="宋体"/>
          <w:color w:val="auto"/>
          <w:highlight w:val="none"/>
        </w:rPr>
        <w:t>8</w:t>
      </w:r>
      <w:r>
        <w:rPr>
          <w:rFonts w:hint="eastAsia" w:ascii="宋体" w:hAnsi="宋体"/>
          <w:color w:val="auto"/>
          <w:highlight w:val="none"/>
        </w:rPr>
        <w:t>、《国家电网公司3</w:t>
      </w:r>
      <w:r>
        <w:rPr>
          <w:rFonts w:ascii="宋体" w:hAnsi="宋体"/>
          <w:color w:val="auto"/>
          <w:highlight w:val="none"/>
        </w:rPr>
        <w:t>80/220V</w:t>
      </w:r>
      <w:r>
        <w:rPr>
          <w:rFonts w:hint="eastAsia" w:ascii="宋体" w:hAnsi="宋体"/>
          <w:color w:val="auto"/>
          <w:highlight w:val="none"/>
        </w:rPr>
        <w:t>架空配电线路典型设计（2</w:t>
      </w:r>
      <w:r>
        <w:rPr>
          <w:rFonts w:ascii="宋体" w:hAnsi="宋体"/>
          <w:color w:val="auto"/>
          <w:highlight w:val="none"/>
        </w:rPr>
        <w:t>014</w:t>
      </w:r>
      <w:r>
        <w:rPr>
          <w:rFonts w:hint="eastAsia" w:ascii="宋体" w:hAnsi="宋体"/>
          <w:color w:val="auto"/>
          <w:highlight w:val="none"/>
        </w:rPr>
        <w:t>版）》；</w:t>
      </w:r>
    </w:p>
    <w:p w14:paraId="42DCCFB3">
      <w:pPr>
        <w:pStyle w:val="71"/>
        <w:snapToGrid/>
        <w:ind w:firstLine="480"/>
        <w:rPr>
          <w:rFonts w:ascii="宋体" w:hAnsi="宋体"/>
          <w:color w:val="auto"/>
          <w:highlight w:val="none"/>
        </w:rPr>
      </w:pPr>
      <w:r>
        <w:rPr>
          <w:rFonts w:ascii="宋体" w:hAnsi="宋体"/>
          <w:color w:val="auto"/>
          <w:highlight w:val="none"/>
        </w:rPr>
        <w:t>19</w:t>
      </w:r>
      <w:r>
        <w:rPr>
          <w:rFonts w:hint="eastAsia" w:ascii="宋体" w:hAnsi="宋体"/>
          <w:color w:val="auto"/>
          <w:highlight w:val="none"/>
        </w:rPr>
        <w:t xml:space="preserve">、《低压配电系统设计规范》 </w:t>
      </w:r>
      <w:r>
        <w:rPr>
          <w:rFonts w:ascii="宋体" w:hAnsi="宋体"/>
          <w:color w:val="auto"/>
          <w:highlight w:val="none"/>
        </w:rPr>
        <w:t>GB50052</w:t>
      </w:r>
      <w:r>
        <w:rPr>
          <w:rFonts w:hint="eastAsia" w:ascii="宋体" w:hAnsi="宋体"/>
          <w:color w:val="auto"/>
          <w:highlight w:val="none"/>
        </w:rPr>
        <w:t>-</w:t>
      </w:r>
      <w:r>
        <w:rPr>
          <w:rFonts w:ascii="宋体" w:hAnsi="宋体"/>
          <w:color w:val="auto"/>
          <w:highlight w:val="none"/>
        </w:rPr>
        <w:t>2009</w:t>
      </w:r>
      <w:r>
        <w:rPr>
          <w:rFonts w:hint="eastAsia" w:ascii="宋体" w:hAnsi="宋体"/>
          <w:color w:val="auto"/>
          <w:highlight w:val="none"/>
        </w:rPr>
        <w:t>；</w:t>
      </w:r>
    </w:p>
    <w:p w14:paraId="4022AF7C">
      <w:pPr>
        <w:pStyle w:val="71"/>
        <w:snapToGrid/>
        <w:ind w:firstLine="480"/>
        <w:rPr>
          <w:rFonts w:ascii="宋体" w:hAnsi="宋体"/>
          <w:color w:val="auto"/>
          <w:highlight w:val="none"/>
        </w:rPr>
      </w:pPr>
      <w:r>
        <w:rPr>
          <w:rFonts w:hint="eastAsia" w:ascii="宋体" w:hAnsi="宋体"/>
          <w:color w:val="auto"/>
          <w:highlight w:val="none"/>
        </w:rPr>
        <w:t>2</w:t>
      </w:r>
      <w:r>
        <w:rPr>
          <w:rFonts w:ascii="宋体" w:hAnsi="宋体"/>
          <w:color w:val="auto"/>
          <w:highlight w:val="none"/>
        </w:rPr>
        <w:t>0</w:t>
      </w:r>
      <w:r>
        <w:rPr>
          <w:rFonts w:hint="eastAsia" w:ascii="宋体" w:hAnsi="宋体"/>
          <w:color w:val="auto"/>
          <w:highlight w:val="none"/>
        </w:rPr>
        <w:t xml:space="preserve">、《交流电气装置的接地设计规范》 </w:t>
      </w:r>
      <w:r>
        <w:rPr>
          <w:rFonts w:ascii="宋体" w:hAnsi="宋体"/>
          <w:color w:val="auto"/>
          <w:highlight w:val="none"/>
        </w:rPr>
        <w:t>GB50065</w:t>
      </w:r>
      <w:r>
        <w:rPr>
          <w:rFonts w:hint="eastAsia" w:ascii="宋体" w:hAnsi="宋体"/>
          <w:color w:val="auto"/>
          <w:highlight w:val="none"/>
        </w:rPr>
        <w:t>-</w:t>
      </w:r>
      <w:r>
        <w:rPr>
          <w:rFonts w:ascii="宋体" w:hAnsi="宋体"/>
          <w:color w:val="auto"/>
          <w:highlight w:val="none"/>
        </w:rPr>
        <w:t>2011</w:t>
      </w:r>
      <w:r>
        <w:rPr>
          <w:rFonts w:hint="eastAsia" w:ascii="宋体" w:hAnsi="宋体"/>
          <w:color w:val="auto"/>
          <w:highlight w:val="none"/>
        </w:rPr>
        <w:t>；</w:t>
      </w:r>
    </w:p>
    <w:p w14:paraId="3214D899">
      <w:pPr>
        <w:pStyle w:val="71"/>
        <w:snapToGrid/>
        <w:ind w:firstLine="480"/>
        <w:rPr>
          <w:rFonts w:ascii="宋体" w:hAnsi="宋体"/>
          <w:color w:val="auto"/>
          <w:highlight w:val="none"/>
        </w:rPr>
      </w:pPr>
      <w:r>
        <w:rPr>
          <w:rFonts w:hint="eastAsia" w:ascii="宋体" w:hAnsi="宋体"/>
          <w:color w:val="auto"/>
          <w:highlight w:val="none"/>
        </w:rPr>
        <w:t>2</w:t>
      </w:r>
      <w:r>
        <w:rPr>
          <w:rFonts w:ascii="宋体" w:hAnsi="宋体"/>
          <w:color w:val="auto"/>
          <w:highlight w:val="none"/>
        </w:rPr>
        <w:t>1</w:t>
      </w:r>
      <w:r>
        <w:rPr>
          <w:rFonts w:hint="eastAsia" w:ascii="宋体" w:hAnsi="宋体"/>
          <w:color w:val="auto"/>
          <w:highlight w:val="none"/>
        </w:rPr>
        <w:t>、《建筑物防雷设计规范》G</w:t>
      </w:r>
      <w:r>
        <w:rPr>
          <w:rFonts w:ascii="宋体" w:hAnsi="宋体"/>
          <w:color w:val="auto"/>
          <w:highlight w:val="none"/>
        </w:rPr>
        <w:t>B50057</w:t>
      </w:r>
      <w:r>
        <w:rPr>
          <w:rFonts w:hint="eastAsia" w:ascii="宋体" w:hAnsi="宋体"/>
          <w:color w:val="auto"/>
          <w:highlight w:val="none"/>
        </w:rPr>
        <w:t>-</w:t>
      </w:r>
      <w:r>
        <w:rPr>
          <w:rFonts w:ascii="宋体" w:hAnsi="宋体"/>
          <w:color w:val="auto"/>
          <w:highlight w:val="none"/>
        </w:rPr>
        <w:t>2010</w:t>
      </w:r>
      <w:r>
        <w:rPr>
          <w:rFonts w:hint="eastAsia" w:ascii="宋体" w:hAnsi="宋体"/>
          <w:color w:val="auto"/>
          <w:highlight w:val="none"/>
        </w:rPr>
        <w:t>；</w:t>
      </w:r>
    </w:p>
    <w:p w14:paraId="21E569BA">
      <w:pPr>
        <w:pStyle w:val="71"/>
        <w:snapToGrid/>
        <w:ind w:firstLine="480"/>
        <w:rPr>
          <w:rFonts w:hint="eastAsia" w:ascii="宋体" w:hAnsi="宋体"/>
          <w:color w:val="auto"/>
          <w:highlight w:val="none"/>
          <w:lang w:eastAsia="zh-CN"/>
        </w:rPr>
      </w:pPr>
      <w:r>
        <w:rPr>
          <w:rFonts w:hint="eastAsia" w:ascii="宋体" w:hAnsi="宋体"/>
          <w:color w:val="auto"/>
          <w:highlight w:val="none"/>
        </w:rPr>
        <w:t>2</w:t>
      </w:r>
      <w:r>
        <w:rPr>
          <w:rFonts w:ascii="宋体" w:hAnsi="宋体"/>
          <w:color w:val="auto"/>
          <w:highlight w:val="none"/>
        </w:rPr>
        <w:t>2</w:t>
      </w:r>
      <w:r>
        <w:rPr>
          <w:rFonts w:hint="eastAsia" w:ascii="宋体" w:hAnsi="宋体"/>
          <w:color w:val="auto"/>
          <w:highlight w:val="none"/>
        </w:rPr>
        <w:t>、《电力工程电缆设计标准》G</w:t>
      </w:r>
      <w:r>
        <w:rPr>
          <w:rFonts w:ascii="宋体" w:hAnsi="宋体"/>
          <w:color w:val="auto"/>
          <w:highlight w:val="none"/>
        </w:rPr>
        <w:t>B50217-2018</w:t>
      </w:r>
      <w:r>
        <w:rPr>
          <w:rFonts w:hint="eastAsia" w:ascii="宋体" w:hAnsi="宋体"/>
          <w:color w:val="auto"/>
          <w:highlight w:val="none"/>
          <w:lang w:eastAsia="zh-CN"/>
        </w:rPr>
        <w:t>；</w:t>
      </w:r>
    </w:p>
    <w:p w14:paraId="70083B03">
      <w:pPr>
        <w:pStyle w:val="71"/>
        <w:snapToGrid/>
        <w:ind w:firstLine="480"/>
        <w:rPr>
          <w:rFonts w:hint="eastAsia" w:ascii="宋体" w:hAnsi="宋体" w:eastAsia="宋体"/>
          <w:color w:val="auto"/>
          <w:highlight w:val="none"/>
          <w:lang w:val="en-US" w:eastAsia="zh-CN"/>
        </w:rPr>
      </w:pPr>
      <w:r>
        <w:rPr>
          <w:rFonts w:hint="eastAsia" w:ascii="宋体" w:hAnsi="宋体"/>
          <w:color w:val="auto"/>
          <w:highlight w:val="none"/>
          <w:lang w:val="en-US" w:eastAsia="zh-CN"/>
        </w:rPr>
        <w:t>23</w:t>
      </w:r>
      <w:r>
        <w:rPr>
          <w:rFonts w:hint="eastAsia" w:ascii="宋体" w:hAnsi="宋体"/>
          <w:color w:val="auto"/>
          <w:highlight w:val="none"/>
        </w:rPr>
        <w:t>、《建筑与市政工程抗震通用规范》（GB55002-2021）。</w:t>
      </w:r>
    </w:p>
    <w:p w14:paraId="422BA997">
      <w:pPr>
        <w:pStyle w:val="3"/>
        <w:numPr>
          <w:ilvl w:val="0"/>
          <w:numId w:val="2"/>
        </w:numPr>
        <w:spacing w:before="0" w:after="0" w:line="360" w:lineRule="auto"/>
        <w:ind w:firstLine="482" w:firstLineChars="200"/>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一体化污水处理站设计</w:t>
      </w:r>
    </w:p>
    <w:p w14:paraId="6EDBCC41">
      <w:pPr>
        <w:pStyle w:val="3"/>
        <w:numPr>
          <w:ilvl w:val="0"/>
          <w:numId w:val="0"/>
        </w:numPr>
        <w:spacing w:before="0" w:after="0" w:line="360" w:lineRule="auto"/>
        <w:ind w:left="482" w:leftChars="0"/>
        <w:jc w:val="left"/>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1、工艺设计</w:t>
      </w:r>
    </w:p>
    <w:p w14:paraId="2D64AEE3">
      <w:pPr>
        <w:spacing w:line="360" w:lineRule="auto"/>
        <w:ind w:firstLine="480" w:firstLineChars="200"/>
        <w:jc w:val="left"/>
        <w:rPr>
          <w:rFonts w:hint="eastAsia" w:ascii="宋体" w:hAnsi="宋体" w:eastAsia="宋体"/>
          <w:snapToGrid w:val="0"/>
          <w:color w:val="auto"/>
          <w:kern w:val="0"/>
          <w:sz w:val="24"/>
          <w:szCs w:val="24"/>
          <w:lang w:val="en-US" w:eastAsia="zh-CN"/>
        </w:rPr>
      </w:pPr>
      <w:r>
        <w:rPr>
          <w:rFonts w:hint="eastAsia" w:ascii="宋体" w:hAnsi="宋体"/>
          <w:snapToGrid w:val="0"/>
          <w:color w:val="auto"/>
          <w:kern w:val="0"/>
          <w:sz w:val="24"/>
          <w:szCs w:val="24"/>
          <w:lang w:eastAsia="zh-CN"/>
        </w:rPr>
        <w:t>（</w:t>
      </w:r>
      <w:r>
        <w:rPr>
          <w:rFonts w:hint="eastAsia" w:ascii="宋体" w:hAnsi="宋体"/>
          <w:snapToGrid w:val="0"/>
          <w:color w:val="auto"/>
          <w:kern w:val="0"/>
          <w:sz w:val="24"/>
          <w:szCs w:val="24"/>
          <w:lang w:val="en-US" w:eastAsia="zh-CN"/>
        </w:rPr>
        <w:t>1</w:t>
      </w:r>
      <w:r>
        <w:rPr>
          <w:rFonts w:hint="eastAsia" w:ascii="宋体" w:hAnsi="宋体"/>
          <w:snapToGrid w:val="0"/>
          <w:color w:val="auto"/>
          <w:kern w:val="0"/>
          <w:sz w:val="24"/>
          <w:szCs w:val="24"/>
          <w:lang w:eastAsia="zh-CN"/>
        </w:rPr>
        <w:t>）</w:t>
      </w:r>
      <w:r>
        <w:rPr>
          <w:rFonts w:hint="eastAsia" w:ascii="宋体" w:hAnsi="宋体"/>
          <w:snapToGrid w:val="0"/>
          <w:color w:val="auto"/>
          <w:kern w:val="0"/>
          <w:sz w:val="24"/>
          <w:szCs w:val="24"/>
          <w:lang w:val="en-US" w:eastAsia="zh-CN"/>
        </w:rPr>
        <w:t>设计规模（以6</w:t>
      </w:r>
      <w:r>
        <w:rPr>
          <w:rFonts w:hint="eastAsia" w:ascii="宋体" w:hAnsi="宋体"/>
          <w:snapToGrid w:val="0"/>
          <w:color w:val="auto"/>
          <w:kern w:val="0"/>
          <w:sz w:val="24"/>
          <w:szCs w:val="24"/>
          <w:highlight w:val="none"/>
          <w:lang w:val="en-US" w:eastAsia="zh-CN"/>
        </w:rPr>
        <w:t>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val="en-US" w:eastAsia="zh-CN"/>
        </w:rPr>
        <w:t>为例</w:t>
      </w:r>
      <w:r>
        <w:rPr>
          <w:rFonts w:hint="eastAsia" w:ascii="宋体" w:hAnsi="宋体"/>
          <w:snapToGrid w:val="0"/>
          <w:color w:val="auto"/>
          <w:kern w:val="0"/>
          <w:sz w:val="24"/>
          <w:szCs w:val="24"/>
          <w:lang w:val="en-US" w:eastAsia="zh-CN"/>
        </w:rPr>
        <w:t>）</w:t>
      </w:r>
    </w:p>
    <w:p w14:paraId="19CAA2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highlight w:val="none"/>
        </w:rPr>
        <w:t>本项目</w:t>
      </w:r>
      <w:r>
        <w:rPr>
          <w:rFonts w:hint="eastAsia" w:ascii="宋体" w:hAnsi="宋体"/>
          <w:snapToGrid w:val="0"/>
          <w:color w:val="auto"/>
          <w:kern w:val="0"/>
          <w:sz w:val="24"/>
          <w:szCs w:val="24"/>
          <w:highlight w:val="none"/>
          <w:lang w:val="en-US" w:eastAsia="zh-CN"/>
        </w:rPr>
        <w:t>污水处理站</w:t>
      </w:r>
      <w:r>
        <w:rPr>
          <w:rFonts w:hint="eastAsia" w:ascii="宋体" w:hAnsi="宋体"/>
          <w:snapToGrid w:val="0"/>
          <w:color w:val="auto"/>
          <w:kern w:val="0"/>
          <w:sz w:val="24"/>
          <w:szCs w:val="24"/>
          <w:highlight w:val="none"/>
        </w:rPr>
        <w:t>设计处理规模</w:t>
      </w:r>
      <w:r>
        <w:rPr>
          <w:rFonts w:hint="eastAsia" w:ascii="宋体" w:hAnsi="宋体"/>
          <w:snapToGrid w:val="0"/>
          <w:color w:val="auto"/>
          <w:kern w:val="0"/>
          <w:sz w:val="24"/>
          <w:szCs w:val="24"/>
          <w:highlight w:val="none"/>
          <w:lang w:val="en-US" w:eastAsia="zh-CN"/>
        </w:rPr>
        <w:t>为1座60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p>
    <w:p w14:paraId="2FC42E06">
      <w:pPr>
        <w:numPr>
          <w:ilvl w:val="0"/>
          <w:numId w:val="4"/>
        </w:numPr>
        <w:spacing w:line="360" w:lineRule="auto"/>
        <w:ind w:firstLine="480" w:firstLineChars="200"/>
        <w:jc w:val="left"/>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lang w:val="en-US" w:eastAsia="zh-CN"/>
        </w:rPr>
        <w:t>工艺流程</w:t>
      </w:r>
    </w:p>
    <w:p w14:paraId="45E71E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78583E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生活污水</w:t>
      </w:r>
      <w:r>
        <w:rPr>
          <w:rFonts w:hint="default" w:ascii="宋体" w:hAnsi="宋体"/>
          <w:snapToGrid w:val="0"/>
          <w:color w:val="auto"/>
          <w:kern w:val="0"/>
          <w:sz w:val="24"/>
          <w:szCs w:val="24"/>
          <w:highlight w:val="none"/>
          <w:lang w:val="en-US" w:eastAsia="zh-CN"/>
        </w:rPr>
        <w:t>→</w:t>
      </w:r>
      <w:r>
        <w:rPr>
          <w:rFonts w:hint="eastAsia" w:ascii="宋体" w:hAnsi="宋体"/>
          <w:snapToGrid w:val="0"/>
          <w:color w:val="auto"/>
          <w:kern w:val="0"/>
          <w:sz w:val="24"/>
          <w:szCs w:val="24"/>
          <w:highlight w:val="none"/>
          <w:lang w:val="en-US" w:eastAsia="zh-CN"/>
        </w:rPr>
        <w:t>格栅井</w:t>
      </w:r>
      <w:r>
        <w:rPr>
          <w:rFonts w:hint="default" w:ascii="宋体" w:hAnsi="宋体"/>
          <w:snapToGrid w:val="0"/>
          <w:color w:val="auto"/>
          <w:kern w:val="0"/>
          <w:sz w:val="24"/>
          <w:szCs w:val="24"/>
          <w:highlight w:val="none"/>
          <w:lang w:val="en-US" w:eastAsia="zh-CN"/>
        </w:rPr>
        <w:t>→</w:t>
      </w:r>
      <w:r>
        <w:rPr>
          <w:rFonts w:hint="eastAsia" w:ascii="宋体" w:hAnsi="宋体"/>
          <w:snapToGrid w:val="0"/>
          <w:color w:val="auto"/>
          <w:kern w:val="0"/>
          <w:sz w:val="24"/>
          <w:szCs w:val="24"/>
          <w:highlight w:val="none"/>
          <w:lang w:val="en-US" w:eastAsia="zh-CN"/>
        </w:rPr>
        <w:t>调节池</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一体化设备</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回用水池</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达标排放。</w:t>
      </w:r>
    </w:p>
    <w:p w14:paraId="5F2A41C3">
      <w:pPr>
        <w:numPr>
          <w:ilvl w:val="0"/>
          <w:numId w:val="4"/>
        </w:num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设计进出水水质</w:t>
      </w:r>
    </w:p>
    <w:p w14:paraId="15F2E2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出水水质达到广西</w:t>
      </w:r>
      <w:r>
        <w:rPr>
          <w:rFonts w:hint="eastAsia" w:ascii="宋体" w:hAnsi="宋体"/>
          <w:snapToGrid w:val="0"/>
          <w:color w:val="auto"/>
          <w:kern w:val="0"/>
          <w:sz w:val="24"/>
          <w:szCs w:val="24"/>
          <w:lang w:val="en-US" w:eastAsia="zh-CN"/>
        </w:rPr>
        <w:t>壮族</w:t>
      </w:r>
      <w:r>
        <w:rPr>
          <w:rFonts w:hint="eastAsia" w:ascii="宋体" w:hAnsi="宋体" w:cs="Times New Roman"/>
          <w:snapToGrid w:val="0"/>
          <w:color w:val="auto"/>
          <w:kern w:val="0"/>
          <w:sz w:val="24"/>
          <w:szCs w:val="24"/>
          <w:highlight w:val="none"/>
          <w:lang w:val="en-US" w:eastAsia="zh-CN"/>
        </w:rPr>
        <w:t>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1356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F4764BA">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指标</w:t>
            </w:r>
          </w:p>
        </w:tc>
        <w:tc>
          <w:tcPr>
            <w:tcW w:w="779" w:type="pct"/>
            <w:noWrap w:val="0"/>
            <w:vAlign w:val="center"/>
          </w:tcPr>
          <w:p w14:paraId="582BA535">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COD</w:t>
            </w:r>
            <w:r>
              <w:rPr>
                <w:rFonts w:hint="default" w:ascii="Times New Roman" w:hAnsi="Times New Roman" w:eastAsia="宋体" w:cs="Times New Roman"/>
                <w:color w:val="auto"/>
                <w:sz w:val="24"/>
                <w:szCs w:val="24"/>
                <w:highlight w:val="none"/>
                <w:vertAlign w:val="subscript"/>
              </w:rPr>
              <w:t>cr</w:t>
            </w:r>
          </w:p>
          <w:p w14:paraId="3C91DB86">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(mg/L)</w:t>
            </w:r>
          </w:p>
        </w:tc>
        <w:tc>
          <w:tcPr>
            <w:tcW w:w="743" w:type="pct"/>
            <w:noWrap w:val="0"/>
            <w:vAlign w:val="center"/>
          </w:tcPr>
          <w:p w14:paraId="6F683B5F">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SS</w:t>
            </w:r>
          </w:p>
          <w:p w14:paraId="45411624">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09" w:type="pct"/>
            <w:noWrap w:val="0"/>
            <w:vAlign w:val="center"/>
          </w:tcPr>
          <w:p w14:paraId="631CBAE3">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NH</w:t>
            </w:r>
            <w:r>
              <w:rPr>
                <w:rFonts w:hint="default" w:ascii="Times New Roman" w:hAnsi="Times New Roman" w:eastAsia="宋体"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-N</w:t>
            </w:r>
          </w:p>
          <w:p w14:paraId="412900DB">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63" w:type="pct"/>
            <w:noWrap w:val="0"/>
            <w:vAlign w:val="center"/>
          </w:tcPr>
          <w:p w14:paraId="481FFEE0">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TN</w:t>
            </w:r>
          </w:p>
          <w:p w14:paraId="1CB68D37">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75" w:type="pct"/>
            <w:noWrap w:val="0"/>
            <w:vAlign w:val="center"/>
          </w:tcPr>
          <w:p w14:paraId="3FC041F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TP</w:t>
            </w:r>
          </w:p>
          <w:p w14:paraId="0B8708AF">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(mg/L)</w:t>
            </w:r>
          </w:p>
        </w:tc>
      </w:tr>
      <w:tr w14:paraId="33C0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2C4EC7F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进水水质</w:t>
            </w:r>
          </w:p>
        </w:tc>
        <w:tc>
          <w:tcPr>
            <w:tcW w:w="779" w:type="pct"/>
            <w:noWrap w:val="0"/>
            <w:vAlign w:val="center"/>
          </w:tcPr>
          <w:p w14:paraId="341E249A">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25</w:t>
            </w:r>
            <w:r>
              <w:rPr>
                <w:rFonts w:hint="default" w:ascii="Times New Roman" w:hAnsi="Times New Roman" w:eastAsia="宋体" w:cs="Times New Roman"/>
                <w:color w:val="auto"/>
                <w:sz w:val="24"/>
                <w:szCs w:val="24"/>
                <w:highlight w:val="none"/>
                <w:lang w:val="en-US" w:eastAsia="zh-CN"/>
              </w:rPr>
              <w:t>0</w:t>
            </w:r>
          </w:p>
        </w:tc>
        <w:tc>
          <w:tcPr>
            <w:tcW w:w="743" w:type="pct"/>
            <w:noWrap w:val="0"/>
            <w:vAlign w:val="center"/>
          </w:tcPr>
          <w:p w14:paraId="4DBC5A49">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16</w:t>
            </w:r>
          </w:p>
        </w:tc>
        <w:tc>
          <w:tcPr>
            <w:tcW w:w="809" w:type="pct"/>
            <w:noWrap w:val="0"/>
            <w:vAlign w:val="center"/>
          </w:tcPr>
          <w:p w14:paraId="0713B6F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40</w:t>
            </w:r>
          </w:p>
        </w:tc>
        <w:tc>
          <w:tcPr>
            <w:tcW w:w="863" w:type="pct"/>
            <w:noWrap w:val="0"/>
            <w:vAlign w:val="center"/>
          </w:tcPr>
          <w:p w14:paraId="36D3A386">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875" w:type="pct"/>
            <w:noWrap w:val="0"/>
            <w:vAlign w:val="center"/>
          </w:tcPr>
          <w:p w14:paraId="23021BE7">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4</w:t>
            </w:r>
          </w:p>
        </w:tc>
      </w:tr>
      <w:tr w14:paraId="2AAE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5B21A42A">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出水水质</w:t>
            </w:r>
          </w:p>
        </w:tc>
        <w:tc>
          <w:tcPr>
            <w:tcW w:w="779" w:type="pct"/>
            <w:noWrap w:val="0"/>
            <w:vAlign w:val="center"/>
          </w:tcPr>
          <w:p w14:paraId="076EC478">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60</w:t>
            </w:r>
          </w:p>
        </w:tc>
        <w:tc>
          <w:tcPr>
            <w:tcW w:w="743" w:type="pct"/>
            <w:noWrap w:val="0"/>
            <w:vAlign w:val="center"/>
          </w:tcPr>
          <w:p w14:paraId="7BD0783F">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20</w:t>
            </w:r>
          </w:p>
        </w:tc>
        <w:tc>
          <w:tcPr>
            <w:tcW w:w="809" w:type="pct"/>
            <w:noWrap w:val="0"/>
            <w:vAlign w:val="center"/>
          </w:tcPr>
          <w:p w14:paraId="43EB1991">
            <w:pPr>
              <w:pStyle w:val="114"/>
              <w:rPr>
                <w:rFonts w:hint="eastAsia" w:ascii="Times New Roman" w:hAnsi="Times New Roman" w:eastAsia="宋体" w:cs="Times New Roman"/>
                <w:color w:val="auto"/>
                <w:sz w:val="24"/>
                <w:szCs w:val="24"/>
                <w:highlight w:val="none"/>
                <w:lang w:eastAsia="zh-CN"/>
              </w:rPr>
            </w:pPr>
            <w:r>
              <w:rPr>
                <w:rFonts w:hint="eastAsia" w:cs="Times New Roman"/>
                <w:color w:val="auto"/>
                <w:sz w:val="24"/>
                <w:szCs w:val="24"/>
                <w:highlight w:val="none"/>
                <w:lang w:val="en-US" w:eastAsia="zh-CN"/>
              </w:rPr>
              <w:t>8（15）</w:t>
            </w:r>
          </w:p>
        </w:tc>
        <w:tc>
          <w:tcPr>
            <w:tcW w:w="863" w:type="pct"/>
            <w:noWrap w:val="0"/>
            <w:vAlign w:val="center"/>
          </w:tcPr>
          <w:p w14:paraId="02B1855B">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20</w:t>
            </w:r>
          </w:p>
        </w:tc>
        <w:tc>
          <w:tcPr>
            <w:tcW w:w="875" w:type="pct"/>
            <w:noWrap w:val="0"/>
            <w:vAlign w:val="center"/>
          </w:tcPr>
          <w:p w14:paraId="6E7A1C06">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1.5</w:t>
            </w:r>
          </w:p>
        </w:tc>
      </w:tr>
    </w:tbl>
    <w:p w14:paraId="6FBEC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括号外的数值为水温＞12 ℃的控制指标，括号内的数值为水温≤12 ℃的控制指标。</w:t>
      </w:r>
    </w:p>
    <w:p w14:paraId="4C5AAD25">
      <w:pPr>
        <w:numPr>
          <w:ilvl w:val="0"/>
          <w:numId w:val="4"/>
        </w:numPr>
        <w:spacing w:line="360" w:lineRule="auto"/>
        <w:ind w:left="0" w:leftChars="0"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lang w:val="en-US" w:eastAsia="zh-CN"/>
        </w:rPr>
        <w:t>工艺</w:t>
      </w:r>
      <w:r>
        <w:rPr>
          <w:rFonts w:hint="eastAsia" w:ascii="宋体" w:hAnsi="宋体"/>
          <w:snapToGrid w:val="0"/>
          <w:color w:val="auto"/>
          <w:kern w:val="0"/>
          <w:sz w:val="24"/>
          <w:szCs w:val="24"/>
          <w:highlight w:val="none"/>
        </w:rPr>
        <w:t>设计</w:t>
      </w:r>
    </w:p>
    <w:p w14:paraId="26E84A1B">
      <w:pPr>
        <w:spacing w:line="360" w:lineRule="auto"/>
        <w:ind w:firstLine="480" w:firstLineChars="200"/>
        <w:jc w:val="left"/>
        <w:rPr>
          <w:rFonts w:hint="default"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1）格栅井及调节池</w:t>
      </w:r>
    </w:p>
    <w:p w14:paraId="32306A67">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设计功能：拦截污水中的杂物、渣滓；</w:t>
      </w:r>
    </w:p>
    <w:p w14:paraId="0679AC80">
      <w:pPr>
        <w:spacing w:line="360" w:lineRule="auto"/>
        <w:ind w:firstLine="480" w:firstLineChars="200"/>
        <w:jc w:val="left"/>
        <w:rPr>
          <w:rFonts w:hint="eastAsia" w:ascii="宋体" w:hAnsi="宋体"/>
          <w:snapToGrid w:val="0"/>
          <w:color w:val="auto"/>
          <w:kern w:val="0"/>
          <w:sz w:val="24"/>
          <w:szCs w:val="24"/>
          <w:highlight w:val="none"/>
          <w:lang w:eastAsia="zh-CN"/>
        </w:rPr>
      </w:pPr>
      <w:r>
        <w:rPr>
          <w:rFonts w:hint="eastAsia" w:ascii="宋体" w:hAnsi="宋体"/>
          <w:snapToGrid w:val="0"/>
          <w:color w:val="auto"/>
          <w:kern w:val="0"/>
          <w:sz w:val="24"/>
          <w:szCs w:val="24"/>
          <w:highlight w:val="none"/>
        </w:rPr>
        <w:t>格栅设计流量：Q平均=</w:t>
      </w:r>
      <w:r>
        <w:rPr>
          <w:rFonts w:hint="eastAsia" w:ascii="宋体" w:hAnsi="宋体"/>
          <w:snapToGrid w:val="0"/>
          <w:color w:val="auto"/>
          <w:kern w:val="0"/>
          <w:sz w:val="24"/>
          <w:szCs w:val="24"/>
          <w:highlight w:val="none"/>
          <w:lang w:val="en-US" w:eastAsia="zh-CN"/>
        </w:rPr>
        <w:t>2.5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/h，变化系数Kz=2.</w:t>
      </w:r>
      <w:r>
        <w:rPr>
          <w:rFonts w:hint="eastAsia" w:ascii="宋体" w:hAnsi="宋体"/>
          <w:snapToGrid w:val="0"/>
          <w:color w:val="auto"/>
          <w:kern w:val="0"/>
          <w:sz w:val="24"/>
          <w:szCs w:val="24"/>
          <w:highlight w:val="none"/>
          <w:lang w:val="en-US" w:eastAsia="zh-CN"/>
        </w:rPr>
        <w:t>7</w:t>
      </w:r>
      <w:r>
        <w:rPr>
          <w:rFonts w:hint="eastAsia" w:ascii="宋体" w:hAnsi="宋体"/>
          <w:snapToGrid w:val="0"/>
          <w:color w:val="auto"/>
          <w:kern w:val="0"/>
          <w:sz w:val="24"/>
          <w:szCs w:val="24"/>
          <w:highlight w:val="none"/>
        </w:rPr>
        <w:t>，Qmax=</w:t>
      </w:r>
      <w:r>
        <w:rPr>
          <w:rFonts w:hint="eastAsia" w:ascii="宋体" w:hAnsi="宋体"/>
          <w:snapToGrid w:val="0"/>
          <w:color w:val="auto"/>
          <w:kern w:val="0"/>
          <w:sz w:val="24"/>
          <w:szCs w:val="24"/>
          <w:highlight w:val="none"/>
          <w:lang w:val="en-US" w:eastAsia="zh-CN"/>
        </w:rPr>
        <w:t>6.75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/h</w:t>
      </w:r>
      <w:r>
        <w:rPr>
          <w:rFonts w:hint="eastAsia" w:ascii="宋体" w:hAnsi="宋体"/>
          <w:snapToGrid w:val="0"/>
          <w:color w:val="auto"/>
          <w:kern w:val="0"/>
          <w:sz w:val="24"/>
          <w:szCs w:val="24"/>
          <w:highlight w:val="none"/>
          <w:lang w:eastAsia="zh-CN"/>
        </w:rPr>
        <w:t>。</w:t>
      </w:r>
    </w:p>
    <w:p w14:paraId="6DC4DE71">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主要设备材料：</w:t>
      </w:r>
    </w:p>
    <w:p w14:paraId="4693AECA">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不锈钢平面格栅，1套，尺寸800×700；</w:t>
      </w:r>
    </w:p>
    <w:p w14:paraId="0FF4CF19">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潜污泵，2台，流量5m</w:t>
      </w:r>
      <w:r>
        <w:rPr>
          <w:rFonts w:hint="eastAsia" w:ascii="宋体" w:hAnsi="宋体"/>
          <w:snapToGrid w:val="0"/>
          <w:color w:val="auto"/>
          <w:kern w:val="0"/>
          <w:sz w:val="24"/>
          <w:szCs w:val="24"/>
          <w:highlight w:val="none"/>
          <w:vertAlign w:val="superscript"/>
          <w:lang w:val="en-US" w:eastAsia="zh-CN"/>
        </w:rPr>
        <w:t>3</w:t>
      </w:r>
      <w:r>
        <w:rPr>
          <w:rFonts w:hint="eastAsia" w:ascii="宋体" w:hAnsi="宋体"/>
          <w:snapToGrid w:val="0"/>
          <w:color w:val="auto"/>
          <w:kern w:val="0"/>
          <w:sz w:val="24"/>
          <w:szCs w:val="24"/>
          <w:highlight w:val="none"/>
          <w:lang w:val="en-US" w:eastAsia="zh-CN"/>
        </w:rPr>
        <w:t>/h，扬程7m，功率370W。</w:t>
      </w:r>
    </w:p>
    <w:p w14:paraId="06001F9D">
      <w:pPr>
        <w:spacing w:line="360" w:lineRule="auto"/>
        <w:ind w:firstLine="480" w:firstLineChars="200"/>
        <w:jc w:val="left"/>
        <w:rPr>
          <w:rFonts w:hint="default" w:ascii="宋体" w:hAnsi="宋体" w:eastAsia="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浮球液位计0~5m，4~20mA。</w:t>
      </w:r>
    </w:p>
    <w:p w14:paraId="3ED066E3">
      <w:pPr>
        <w:spacing w:line="360" w:lineRule="auto"/>
        <w:ind w:firstLine="480" w:firstLineChars="200"/>
        <w:jc w:val="left"/>
        <w:rPr>
          <w:rFonts w:hint="default" w:ascii="宋体" w:hAnsi="宋体"/>
          <w:snapToGrid w:val="0"/>
          <w:color w:val="auto"/>
          <w:kern w:val="0"/>
          <w:sz w:val="24"/>
          <w:szCs w:val="24"/>
          <w:highlight w:val="none"/>
          <w:lang w:val="en-US"/>
        </w:rPr>
      </w:pPr>
      <w:r>
        <w:rPr>
          <w:rFonts w:hint="eastAsia" w:ascii="宋体" w:hAnsi="宋体"/>
          <w:snapToGrid w:val="0"/>
          <w:color w:val="auto"/>
          <w:kern w:val="0"/>
          <w:sz w:val="24"/>
          <w:szCs w:val="24"/>
          <w:highlight w:val="none"/>
          <w:lang w:val="en-US" w:eastAsia="zh-CN"/>
        </w:rPr>
        <w:t>2）两微智能污水一体化处理设备</w:t>
      </w:r>
    </w:p>
    <w:p w14:paraId="15C73D95">
      <w:pPr>
        <w:spacing w:line="360" w:lineRule="auto"/>
        <w:ind w:firstLine="480" w:firstLineChars="200"/>
        <w:jc w:val="left"/>
        <w:rPr>
          <w:rFonts w:hint="default"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设计功能：去除各类污染物、固液分离。</w:t>
      </w:r>
    </w:p>
    <w:p w14:paraId="2E43CB9A">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lang w:val="en-US" w:eastAsia="zh-CN"/>
        </w:rPr>
        <w:t>污水处理站：</w:t>
      </w:r>
      <w:r>
        <w:rPr>
          <w:rFonts w:ascii="宋体" w:hAnsi="宋体"/>
          <w:snapToGrid w:val="0"/>
          <w:color w:val="auto"/>
          <w:kern w:val="0"/>
          <w:sz w:val="24"/>
          <w:szCs w:val="24"/>
          <w:highlight w:val="none"/>
        </w:rPr>
        <w:t>Q</w:t>
      </w:r>
      <w:r>
        <w:rPr>
          <w:rFonts w:hint="eastAsia" w:ascii="宋体" w:hAnsi="宋体"/>
          <w:snapToGrid w:val="0"/>
          <w:color w:val="auto"/>
          <w:kern w:val="0"/>
          <w:sz w:val="24"/>
          <w:szCs w:val="24"/>
          <w:highlight w:val="none"/>
          <w:vertAlign w:val="subscript"/>
          <w:lang w:val="en-US" w:eastAsia="zh-CN"/>
        </w:rPr>
        <w:t>1</w:t>
      </w:r>
      <w:r>
        <w:rPr>
          <w:rFonts w:ascii="宋体" w:hAnsi="宋体"/>
          <w:snapToGrid w:val="0"/>
          <w:color w:val="auto"/>
          <w:kern w:val="0"/>
          <w:sz w:val="24"/>
          <w:szCs w:val="24"/>
          <w:highlight w:val="none"/>
        </w:rPr>
        <w:t>=</w:t>
      </w:r>
      <w:r>
        <w:rPr>
          <w:rFonts w:hint="eastAsia" w:ascii="宋体" w:hAnsi="宋体"/>
          <w:snapToGrid w:val="0"/>
          <w:color w:val="auto"/>
          <w:kern w:val="0"/>
          <w:sz w:val="24"/>
          <w:szCs w:val="24"/>
          <w:highlight w:val="none"/>
          <w:lang w:val="en-US" w:eastAsia="zh-CN"/>
        </w:rPr>
        <w:t>60</w:t>
      </w:r>
      <w:r>
        <w:rPr>
          <w:rFonts w:ascii="宋体" w:hAnsi="宋体"/>
          <w:snapToGrid w:val="0"/>
          <w:color w:val="auto"/>
          <w:kern w:val="0"/>
          <w:sz w:val="24"/>
          <w:szCs w:val="24"/>
          <w:highlight w:val="none"/>
        </w:rPr>
        <w:t>m</w:t>
      </w:r>
      <w:r>
        <w:rPr>
          <w:rFonts w:ascii="宋体" w:hAnsi="宋体"/>
          <w:snapToGrid w:val="0"/>
          <w:color w:val="auto"/>
          <w:kern w:val="0"/>
          <w:sz w:val="24"/>
          <w:szCs w:val="24"/>
          <w:highlight w:val="none"/>
          <w:vertAlign w:val="superscript"/>
        </w:rPr>
        <w:t>3</w:t>
      </w:r>
      <w:r>
        <w:rPr>
          <w:rFonts w:ascii="宋体" w:hAnsi="宋体"/>
          <w:snapToGrid w:val="0"/>
          <w:color w:val="auto"/>
          <w:kern w:val="0"/>
          <w:sz w:val="24"/>
          <w:szCs w:val="24"/>
          <w:highlight w:val="none"/>
        </w:rPr>
        <w:t>/</w:t>
      </w:r>
      <w:r>
        <w:rPr>
          <w:rFonts w:hint="eastAsia" w:ascii="宋体" w:hAnsi="宋体"/>
          <w:snapToGrid w:val="0"/>
          <w:color w:val="auto"/>
          <w:kern w:val="0"/>
          <w:sz w:val="24"/>
          <w:szCs w:val="24"/>
          <w:highlight w:val="none"/>
        </w:rPr>
        <w:t>d。</w:t>
      </w:r>
      <w:bookmarkStart w:id="0" w:name="_GoBack"/>
      <w:bookmarkEnd w:id="0"/>
    </w:p>
    <w:p w14:paraId="3B0633EF">
      <w:pPr>
        <w:spacing w:line="360" w:lineRule="auto"/>
        <w:ind w:firstLine="480" w:firstLineChars="200"/>
        <w:jc w:val="left"/>
        <w:rPr>
          <w:rFonts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设备规格：直径</w:t>
      </w:r>
      <w:r>
        <w:rPr>
          <w:rFonts w:hint="eastAsia" w:ascii="宋体" w:hAnsi="宋体"/>
          <w:snapToGrid w:val="0"/>
          <w:color w:val="auto"/>
          <w:kern w:val="0"/>
          <w:sz w:val="24"/>
          <w:szCs w:val="24"/>
          <w:highlight w:val="none"/>
          <w:lang w:val="en-US" w:eastAsia="zh-CN"/>
        </w:rPr>
        <w:t>1.82</w:t>
      </w:r>
      <w:r>
        <w:rPr>
          <w:rFonts w:hint="eastAsia" w:ascii="宋体" w:hAnsi="宋体"/>
          <w:snapToGrid w:val="0"/>
          <w:color w:val="auto"/>
          <w:kern w:val="0"/>
          <w:sz w:val="24"/>
          <w:szCs w:val="24"/>
          <w:highlight w:val="none"/>
        </w:rPr>
        <w:t>m，高2.</w:t>
      </w:r>
      <w:r>
        <w:rPr>
          <w:rFonts w:hint="eastAsia" w:ascii="宋体" w:hAnsi="宋体"/>
          <w:snapToGrid w:val="0"/>
          <w:color w:val="auto"/>
          <w:kern w:val="0"/>
          <w:sz w:val="24"/>
          <w:szCs w:val="24"/>
          <w:highlight w:val="none"/>
          <w:lang w:val="en-US" w:eastAsia="zh-CN"/>
        </w:rPr>
        <w:t>45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lang w:val="en-US" w:eastAsia="zh-CN"/>
        </w:rPr>
        <w:t>5套</w:t>
      </w:r>
      <w:r>
        <w:rPr>
          <w:rFonts w:hint="eastAsia" w:ascii="宋体" w:hAnsi="宋体"/>
          <w:snapToGrid w:val="0"/>
          <w:color w:val="auto"/>
          <w:kern w:val="0"/>
          <w:sz w:val="24"/>
          <w:szCs w:val="24"/>
          <w:highlight w:val="none"/>
        </w:rPr>
        <w:t>。</w:t>
      </w:r>
    </w:p>
    <w:p w14:paraId="0133C7C7">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设备材质：滚塑，PE。</w:t>
      </w:r>
    </w:p>
    <w:p w14:paraId="640D4BD3">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设计参数：</w:t>
      </w:r>
    </w:p>
    <w:p w14:paraId="25B182B4">
      <w:pPr>
        <w:spacing w:line="360" w:lineRule="auto"/>
        <w:ind w:firstLine="480" w:firstLineChars="200"/>
        <w:jc w:val="left"/>
        <w:rPr>
          <w:rFonts w:hint="default" w:ascii="宋体" w:hAnsi="宋体" w:cs="Times New Roman"/>
          <w:snapToGrid w:val="0"/>
          <w:color w:val="auto"/>
          <w:kern w:val="0"/>
          <w:sz w:val="24"/>
          <w:szCs w:val="24"/>
          <w:highlight w:val="none"/>
        </w:rPr>
      </w:pPr>
      <w:r>
        <w:rPr>
          <w:rFonts w:hint="eastAsia" w:ascii="宋体" w:hAnsi="宋体" w:cs="Times New Roman"/>
          <w:snapToGrid w:val="0"/>
          <w:color w:val="auto"/>
          <w:kern w:val="0"/>
          <w:sz w:val="24"/>
          <w:szCs w:val="24"/>
          <w:highlight w:val="none"/>
          <w:lang w:val="en-US" w:eastAsia="zh-CN"/>
        </w:rPr>
        <w:t>表面有机负荷：5</w:t>
      </w:r>
      <w:r>
        <w:rPr>
          <w:rFonts w:hint="default" w:ascii="宋体" w:hAnsi="宋体" w:cs="Times New Roman"/>
          <w:snapToGrid w:val="0"/>
          <w:color w:val="auto"/>
          <w:kern w:val="0"/>
          <w:sz w:val="24"/>
          <w:szCs w:val="24"/>
          <w:highlight w:val="none"/>
        </w:rPr>
        <w:t>gBOD/</w:t>
      </w:r>
      <w:r>
        <w:rPr>
          <w:rFonts w:hint="eastAsia" w:ascii="宋体" w:hAnsi="宋体" w:cs="Times New Roman"/>
          <w:snapToGrid w:val="0"/>
          <w:color w:val="auto"/>
          <w:kern w:val="0"/>
          <w:sz w:val="24"/>
          <w:szCs w:val="24"/>
          <w:highlight w:val="none"/>
          <w:lang w:val="en-US" w:eastAsia="zh-CN"/>
        </w:rPr>
        <w:t>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·d</w:t>
      </w:r>
    </w:p>
    <w:p w14:paraId="661266B5">
      <w:pPr>
        <w:spacing w:line="360" w:lineRule="auto"/>
        <w:ind w:firstLine="480" w:firstLineChars="200"/>
        <w:jc w:val="left"/>
        <w:rPr>
          <w:rFonts w:hint="default" w:ascii="宋体" w:hAnsi="宋体" w:cs="Times New Roman"/>
          <w:snapToGrid w:val="0"/>
          <w:color w:val="auto"/>
          <w:kern w:val="0"/>
          <w:sz w:val="24"/>
          <w:szCs w:val="24"/>
          <w:highlight w:val="none"/>
        </w:rPr>
      </w:pPr>
      <w:r>
        <w:rPr>
          <w:rFonts w:hint="eastAsia" w:ascii="宋体" w:hAnsi="宋体" w:cs="Times New Roman"/>
          <w:snapToGrid w:val="0"/>
          <w:color w:val="auto"/>
          <w:kern w:val="0"/>
          <w:sz w:val="24"/>
          <w:szCs w:val="24"/>
          <w:highlight w:val="none"/>
          <w:lang w:val="en-US" w:eastAsia="zh-CN"/>
        </w:rPr>
        <w:t>表面硝化负荷：0.5</w:t>
      </w:r>
      <w:r>
        <w:rPr>
          <w:rFonts w:hint="default" w:ascii="宋体" w:hAnsi="宋体" w:cs="Times New Roman"/>
          <w:snapToGrid w:val="0"/>
          <w:color w:val="auto"/>
          <w:kern w:val="0"/>
          <w:sz w:val="24"/>
          <w:szCs w:val="24"/>
          <w:highlight w:val="none"/>
        </w:rPr>
        <w:t>gNH3-Ng/</w:t>
      </w:r>
      <w:r>
        <w:rPr>
          <w:rFonts w:hint="eastAsia" w:ascii="宋体" w:hAnsi="宋体" w:cs="Times New Roman"/>
          <w:snapToGrid w:val="0"/>
          <w:color w:val="auto"/>
          <w:kern w:val="0"/>
          <w:sz w:val="24"/>
          <w:szCs w:val="24"/>
          <w:highlight w:val="none"/>
          <w:lang w:val="en-US" w:eastAsia="zh-CN"/>
        </w:rPr>
        <w:t>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·d</w:t>
      </w:r>
    </w:p>
    <w:p w14:paraId="2AAF251D">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填料比表面积：≥260m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w:t>
      </w:r>
      <w:r>
        <w:rPr>
          <w:rFonts w:hint="eastAsia" w:ascii="宋体" w:hAnsi="宋体" w:cs="Times New Roman"/>
          <w:snapToGrid w:val="0"/>
          <w:color w:val="auto"/>
          <w:kern w:val="0"/>
          <w:sz w:val="24"/>
          <w:szCs w:val="24"/>
          <w:highlight w:val="none"/>
          <w:lang w:val="en-US" w:eastAsia="zh-CN"/>
        </w:rPr>
        <w:t>m3</w:t>
      </w:r>
    </w:p>
    <w:p w14:paraId="02073F25">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有效容积：13.59m</w:t>
      </w:r>
      <w:r>
        <w:rPr>
          <w:rFonts w:hint="eastAsia" w:ascii="宋体" w:hAnsi="宋体" w:cs="Times New Roman"/>
          <w:snapToGrid w:val="0"/>
          <w:color w:val="auto"/>
          <w:kern w:val="0"/>
          <w:sz w:val="24"/>
          <w:szCs w:val="24"/>
          <w:highlight w:val="none"/>
          <w:vertAlign w:val="superscript"/>
          <w:lang w:val="en-US" w:eastAsia="zh-CN"/>
        </w:rPr>
        <w:t>3</w:t>
      </w:r>
    </w:p>
    <w:p w14:paraId="460942F9">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总停留时间：10.88h</w:t>
      </w:r>
    </w:p>
    <w:p w14:paraId="3AF5FFD9">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主要设备材料：</w:t>
      </w:r>
    </w:p>
    <w:p w14:paraId="3585EECE">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default" w:ascii="宋体" w:hAnsi="宋体" w:cs="Times New Roman"/>
          <w:snapToGrid w:val="0"/>
          <w:color w:val="auto"/>
          <w:kern w:val="0"/>
          <w:sz w:val="24"/>
          <w:szCs w:val="24"/>
          <w:highlight w:val="none"/>
          <w:lang w:val="en-US" w:eastAsia="zh-CN"/>
        </w:rPr>
        <w:t>VFG填料</w:t>
      </w:r>
      <w:r>
        <w:rPr>
          <w:rFonts w:hint="eastAsia" w:ascii="宋体" w:hAnsi="宋体" w:cs="Times New Roman"/>
          <w:snapToGrid w:val="0"/>
          <w:color w:val="auto"/>
          <w:kern w:val="0"/>
          <w:sz w:val="24"/>
          <w:szCs w:val="24"/>
          <w:highlight w:val="none"/>
          <w:lang w:val="en-US" w:eastAsia="zh-CN"/>
        </w:rPr>
        <w:t>及支架，曝气盘及支架等附件</w:t>
      </w:r>
    </w:p>
    <w:p w14:paraId="0BE29669">
      <w:pPr>
        <w:spacing w:line="360" w:lineRule="auto"/>
        <w:ind w:firstLine="480" w:firstLineChars="200"/>
        <w:jc w:val="left"/>
        <w:rPr>
          <w:rFonts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风机：风量</w:t>
      </w:r>
      <w:r>
        <w:rPr>
          <w:rFonts w:hint="eastAsia" w:ascii="宋体" w:hAnsi="宋体"/>
          <w:snapToGrid w:val="0"/>
          <w:color w:val="auto"/>
          <w:kern w:val="0"/>
          <w:sz w:val="24"/>
          <w:szCs w:val="24"/>
          <w:highlight w:val="none"/>
          <w:lang w:val="en-US" w:eastAsia="zh-CN"/>
        </w:rPr>
        <w:t>80</w:t>
      </w:r>
      <w:r>
        <w:rPr>
          <w:rFonts w:hint="eastAsia" w:ascii="宋体" w:hAnsi="宋体"/>
          <w:snapToGrid w:val="0"/>
          <w:color w:val="auto"/>
          <w:kern w:val="0"/>
          <w:sz w:val="24"/>
          <w:szCs w:val="24"/>
          <w:highlight w:val="none"/>
        </w:rPr>
        <w:t>L/min，</w:t>
      </w:r>
      <w:r>
        <w:rPr>
          <w:rFonts w:hint="eastAsia" w:ascii="宋体" w:hAnsi="宋体"/>
          <w:snapToGrid w:val="0"/>
          <w:color w:val="auto"/>
          <w:kern w:val="0"/>
          <w:sz w:val="24"/>
          <w:szCs w:val="24"/>
          <w:highlight w:val="none"/>
          <w:lang w:val="en-US" w:eastAsia="zh-CN"/>
        </w:rPr>
        <w:t>14.7</w:t>
      </w:r>
      <w:r>
        <w:rPr>
          <w:rFonts w:hint="eastAsia" w:ascii="宋体" w:hAnsi="宋体"/>
          <w:snapToGrid w:val="0"/>
          <w:color w:val="auto"/>
          <w:kern w:val="0"/>
          <w:sz w:val="24"/>
          <w:szCs w:val="24"/>
          <w:highlight w:val="none"/>
        </w:rPr>
        <w:t>kPa，</w:t>
      </w:r>
      <w:r>
        <w:rPr>
          <w:rFonts w:hint="eastAsia" w:ascii="宋体" w:hAnsi="宋体"/>
          <w:snapToGrid w:val="0"/>
          <w:color w:val="auto"/>
          <w:kern w:val="0"/>
          <w:sz w:val="24"/>
          <w:szCs w:val="24"/>
          <w:highlight w:val="none"/>
          <w:lang w:val="en-US" w:eastAsia="zh-CN"/>
        </w:rPr>
        <w:t>60</w:t>
      </w:r>
      <w:r>
        <w:rPr>
          <w:rFonts w:hint="eastAsia" w:ascii="宋体" w:hAnsi="宋体"/>
          <w:snapToGrid w:val="0"/>
          <w:color w:val="auto"/>
          <w:kern w:val="0"/>
          <w:sz w:val="24"/>
          <w:szCs w:val="24"/>
          <w:highlight w:val="none"/>
        </w:rPr>
        <w:t>W，</w:t>
      </w:r>
      <w:r>
        <w:rPr>
          <w:rFonts w:hint="eastAsia" w:ascii="宋体" w:hAnsi="宋体"/>
          <w:snapToGrid w:val="0"/>
          <w:color w:val="auto"/>
          <w:kern w:val="0"/>
          <w:sz w:val="24"/>
          <w:szCs w:val="24"/>
          <w:highlight w:val="none"/>
          <w:lang w:val="en-US" w:eastAsia="zh-CN"/>
        </w:rPr>
        <w:t>6台</w:t>
      </w:r>
      <w:r>
        <w:rPr>
          <w:rFonts w:hint="eastAsia" w:ascii="宋体" w:hAnsi="宋体"/>
          <w:snapToGrid w:val="0"/>
          <w:color w:val="auto"/>
          <w:kern w:val="0"/>
          <w:sz w:val="24"/>
          <w:szCs w:val="24"/>
          <w:highlight w:val="none"/>
        </w:rPr>
        <w:t>。</w:t>
      </w:r>
    </w:p>
    <w:p w14:paraId="3C7367E0">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控制柜等其他附件。</w:t>
      </w:r>
    </w:p>
    <w:p w14:paraId="5FAE9A54">
      <w:pPr>
        <w:spacing w:line="360" w:lineRule="auto"/>
        <w:ind w:firstLine="480" w:firstLineChars="200"/>
        <w:jc w:val="left"/>
        <w:rPr>
          <w:rFonts w:hint="default" w:ascii="宋体" w:hAnsi="宋体" w:eastAsia="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3）回用水池</w:t>
      </w:r>
    </w:p>
    <w:p w14:paraId="332FAD3B">
      <w:pPr>
        <w:spacing w:line="360" w:lineRule="auto"/>
        <w:ind w:firstLine="480" w:firstLineChars="200"/>
        <w:jc w:val="left"/>
        <w:rPr>
          <w:rFonts w:hint="default" w:ascii="宋体" w:hAnsi="宋体"/>
          <w:snapToGrid w:val="0"/>
          <w:color w:val="auto"/>
          <w:kern w:val="0"/>
          <w:sz w:val="24"/>
          <w:szCs w:val="24"/>
        </w:rPr>
      </w:pPr>
      <w:r>
        <w:rPr>
          <w:rFonts w:hint="eastAsia" w:ascii="宋体" w:hAnsi="宋体"/>
          <w:snapToGrid w:val="0"/>
          <w:color w:val="auto"/>
          <w:kern w:val="0"/>
          <w:sz w:val="24"/>
          <w:szCs w:val="24"/>
          <w:highlight w:val="none"/>
        </w:rPr>
        <w:t>设计功能：</w:t>
      </w:r>
      <w:r>
        <w:rPr>
          <w:rFonts w:hint="eastAsia" w:ascii="宋体" w:hAnsi="宋体"/>
          <w:snapToGrid w:val="0"/>
          <w:color w:val="auto"/>
          <w:kern w:val="0"/>
          <w:sz w:val="24"/>
          <w:szCs w:val="24"/>
          <w:highlight w:val="none"/>
          <w:lang w:val="en-US" w:eastAsia="zh-CN"/>
        </w:rPr>
        <w:t>暂存清水供回用</w:t>
      </w:r>
      <w:r>
        <w:rPr>
          <w:rFonts w:hint="eastAsia" w:ascii="宋体" w:hAnsi="宋体"/>
          <w:snapToGrid w:val="0"/>
          <w:color w:val="auto"/>
          <w:kern w:val="0"/>
          <w:sz w:val="24"/>
          <w:szCs w:val="24"/>
          <w:highlight w:val="none"/>
        </w:rPr>
        <w:t>和出</w:t>
      </w:r>
      <w:r>
        <w:rPr>
          <w:rFonts w:hint="eastAsia" w:ascii="宋体" w:hAnsi="宋体"/>
          <w:snapToGrid w:val="0"/>
          <w:color w:val="auto"/>
          <w:kern w:val="0"/>
          <w:sz w:val="24"/>
          <w:szCs w:val="24"/>
        </w:rPr>
        <w:t>水计量。</w:t>
      </w:r>
    </w:p>
    <w:p w14:paraId="09AFE544">
      <w:pPr>
        <w:spacing w:line="360" w:lineRule="auto"/>
        <w:ind w:firstLine="480" w:firstLineChars="200"/>
        <w:jc w:val="left"/>
        <w:rPr>
          <w:rFonts w:hint="default"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清水井容积：2m</w:t>
      </w:r>
      <w:r>
        <w:rPr>
          <w:rFonts w:hint="eastAsia" w:ascii="宋体" w:hAnsi="宋体" w:cs="Times New Roman"/>
          <w:snapToGrid w:val="0"/>
          <w:color w:val="auto"/>
          <w:kern w:val="0"/>
          <w:sz w:val="24"/>
          <w:szCs w:val="24"/>
          <w:vertAlign w:val="superscript"/>
          <w:lang w:val="en-US" w:eastAsia="zh-CN"/>
        </w:rPr>
        <w:t>3</w:t>
      </w:r>
      <w:r>
        <w:rPr>
          <w:rFonts w:hint="eastAsia" w:ascii="宋体" w:hAnsi="宋体" w:cs="Times New Roman"/>
          <w:snapToGrid w:val="0"/>
          <w:color w:val="auto"/>
          <w:kern w:val="0"/>
          <w:sz w:val="24"/>
          <w:szCs w:val="24"/>
          <w:lang w:val="en-US" w:eastAsia="zh-CN"/>
        </w:rPr>
        <w:t>。</w:t>
      </w:r>
    </w:p>
    <w:p w14:paraId="39653DA2">
      <w:pPr>
        <w:spacing w:line="360" w:lineRule="auto"/>
        <w:ind w:firstLine="480" w:firstLineChars="200"/>
        <w:jc w:val="left"/>
        <w:rPr>
          <w:rFonts w:hint="eastAsia" w:ascii="宋体" w:hAnsi="宋体"/>
          <w:snapToGrid w:val="0"/>
          <w:color w:val="auto"/>
          <w:kern w:val="0"/>
          <w:sz w:val="24"/>
          <w:szCs w:val="24"/>
        </w:rPr>
      </w:pPr>
      <w:r>
        <w:rPr>
          <w:rFonts w:hint="eastAsia" w:ascii="宋体" w:hAnsi="宋体"/>
          <w:snapToGrid w:val="0"/>
          <w:color w:val="auto"/>
          <w:kern w:val="0"/>
          <w:sz w:val="24"/>
          <w:szCs w:val="24"/>
        </w:rPr>
        <w:t>主要设备：</w:t>
      </w:r>
    </w:p>
    <w:p w14:paraId="07A142E0">
      <w:pPr>
        <w:spacing w:line="360" w:lineRule="auto"/>
        <w:ind w:firstLine="480" w:firstLineChars="200"/>
        <w:jc w:val="left"/>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lang w:val="en-US" w:eastAsia="zh-CN"/>
        </w:rPr>
        <w:t>潜污泵，1台，流量5m</w:t>
      </w:r>
      <w:r>
        <w:rPr>
          <w:rFonts w:hint="eastAsia" w:ascii="宋体" w:hAnsi="宋体"/>
          <w:snapToGrid w:val="0"/>
          <w:color w:val="auto"/>
          <w:kern w:val="0"/>
          <w:sz w:val="24"/>
          <w:szCs w:val="24"/>
          <w:vertAlign w:val="superscript"/>
          <w:lang w:val="en-US" w:eastAsia="zh-CN"/>
        </w:rPr>
        <w:t>3</w:t>
      </w:r>
      <w:r>
        <w:rPr>
          <w:rFonts w:hint="eastAsia" w:ascii="宋体" w:hAnsi="宋体"/>
          <w:snapToGrid w:val="0"/>
          <w:color w:val="auto"/>
          <w:kern w:val="0"/>
          <w:sz w:val="24"/>
          <w:szCs w:val="24"/>
          <w:lang w:val="en-US" w:eastAsia="zh-CN"/>
        </w:rPr>
        <w:t>/h，扬程7m，功率370W。</w:t>
      </w:r>
    </w:p>
    <w:p w14:paraId="594ACAC0">
      <w:pPr>
        <w:spacing w:line="360" w:lineRule="auto"/>
        <w:ind w:firstLine="480" w:firstLineChars="200"/>
        <w:jc w:val="left"/>
        <w:rPr>
          <w:rFonts w:hint="default"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浮球液位计0~5m，4~20mA。</w:t>
      </w:r>
    </w:p>
    <w:p w14:paraId="769548EF">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电磁流量计，DN25,PN1.6MPa。</w:t>
      </w:r>
    </w:p>
    <w:p w14:paraId="5F82F8BA">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4）其他</w:t>
      </w:r>
    </w:p>
    <w:p w14:paraId="135D9CF5">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配电箱、控制柜、阀门阀件、管道等附件。</w:t>
      </w:r>
    </w:p>
    <w:p w14:paraId="2478D1F0">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工艺</w:t>
      </w:r>
      <w:r>
        <w:rPr>
          <w:rFonts w:hint="eastAsia" w:ascii="宋体" w:hAnsi="宋体" w:eastAsia="宋体" w:cs="宋体"/>
          <w:color w:val="auto"/>
          <w:sz w:val="24"/>
          <w:szCs w:val="24"/>
        </w:rPr>
        <w:t>管道</w:t>
      </w:r>
    </w:p>
    <w:p w14:paraId="7FD9362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5EF86E5D">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000E6CA4">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本工程工艺管道采用PVC材质，不需进行特殊防腐处理。</w:t>
      </w:r>
    </w:p>
    <w:p w14:paraId="6F843B3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w:t>
      </w:r>
      <w:r>
        <w:rPr>
          <w:rFonts w:hint="eastAsia" w:ascii="宋体" w:hAnsi="宋体" w:eastAsia="宋体" w:cs="宋体"/>
          <w:color w:val="auto"/>
          <w:sz w:val="24"/>
          <w:szCs w:val="24"/>
        </w:rPr>
        <w:t>抗震设计</w:t>
      </w:r>
    </w:p>
    <w:p w14:paraId="40A6A0F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5C3C6A2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66958F1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运行管理要求及安全措施</w:t>
      </w:r>
    </w:p>
    <w:p w14:paraId="5F2A037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98B396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76F2B9B6">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65671BE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023F1D46">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15910E50">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65DC1C86">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w:t>
      </w:r>
      <w:r>
        <w:rPr>
          <w:rFonts w:hint="eastAsia" w:ascii="宋体" w:hAnsi="宋体" w:cs="宋体"/>
          <w:color w:val="auto"/>
          <w:sz w:val="24"/>
          <w:szCs w:val="24"/>
          <w:lang w:eastAsia="zh-CN"/>
        </w:rPr>
        <w:t>订货</w:t>
      </w:r>
      <w:r>
        <w:rPr>
          <w:rFonts w:hint="eastAsia" w:ascii="宋体" w:hAnsi="宋体" w:eastAsia="宋体" w:cs="宋体"/>
          <w:color w:val="auto"/>
          <w:sz w:val="24"/>
          <w:szCs w:val="24"/>
        </w:rPr>
        <w:t>核实后，方可进行施工。</w:t>
      </w:r>
    </w:p>
    <w:p w14:paraId="1EF16AE4">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olor w:val="auto"/>
          <w:sz w:val="24"/>
          <w:szCs w:val="24"/>
          <w:lang w:val="en-US" w:eastAsia="zh-CN"/>
        </w:rPr>
      </w:pPr>
      <w:r>
        <w:rPr>
          <w:rFonts w:ascii="宋体" w:hAnsi="宋体" w:eastAsia="宋体"/>
          <w:color w:val="auto"/>
          <w:sz w:val="24"/>
          <w:szCs w:val="24"/>
        </w:rPr>
        <w:t>2</w:t>
      </w:r>
      <w:r>
        <w:rPr>
          <w:rFonts w:hint="eastAsia" w:ascii="宋体" w:hAnsi="宋体" w:eastAsia="宋体"/>
          <w:color w:val="auto"/>
          <w:sz w:val="24"/>
          <w:szCs w:val="24"/>
        </w:rPr>
        <w:t>、电气</w:t>
      </w:r>
      <w:r>
        <w:rPr>
          <w:rFonts w:hint="eastAsia" w:ascii="宋体" w:hAnsi="宋体" w:eastAsia="宋体"/>
          <w:color w:val="auto"/>
          <w:sz w:val="24"/>
          <w:szCs w:val="24"/>
          <w:lang w:val="en-US" w:eastAsia="zh-CN"/>
        </w:rPr>
        <w:t>设计</w:t>
      </w:r>
    </w:p>
    <w:p w14:paraId="4CA9D717">
      <w:pPr>
        <w:pStyle w:val="71"/>
        <w:snapToGrid/>
        <w:ind w:firstLine="480"/>
        <w:rPr>
          <w:rFonts w:hint="eastAsia" w:ascii="宋体" w:hAnsi="宋体"/>
          <w:snapToGrid w:val="0"/>
          <w:color w:val="auto"/>
          <w:kern w:val="0"/>
        </w:rPr>
      </w:pPr>
      <w:r>
        <w:rPr>
          <w:rFonts w:hint="eastAsia" w:ascii="宋体" w:hAnsi="宋体"/>
          <w:snapToGrid w:val="0"/>
          <w:color w:val="auto"/>
          <w:kern w:val="0"/>
        </w:rPr>
        <w:t>（1）负荷计算</w:t>
      </w:r>
    </w:p>
    <w:p w14:paraId="1828B0CA">
      <w:pPr>
        <w:pStyle w:val="71"/>
        <w:snapToGrid/>
        <w:ind w:firstLine="480"/>
        <w:rPr>
          <w:rFonts w:ascii="宋体" w:hAnsi="宋体"/>
          <w:snapToGrid w:val="0"/>
          <w:color w:val="auto"/>
          <w:kern w:val="0"/>
        </w:rPr>
      </w:pPr>
      <w:r>
        <w:rPr>
          <w:rFonts w:hint="eastAsia" w:ascii="宋体" w:hAnsi="宋体"/>
          <w:snapToGrid w:val="0"/>
          <w:color w:val="auto"/>
          <w:kern w:val="0"/>
        </w:rPr>
        <w:t>本次设计范围内污水处理站日处理量</w:t>
      </w:r>
      <w:r>
        <w:rPr>
          <w:rFonts w:hint="eastAsia" w:ascii="宋体" w:hAnsi="宋体"/>
          <w:snapToGrid w:val="0"/>
          <w:color w:val="auto"/>
          <w:kern w:val="0"/>
          <w:lang w:val="en-US" w:eastAsia="zh-CN"/>
        </w:rPr>
        <w:t>为60</w:t>
      </w:r>
      <w:r>
        <w:rPr>
          <w:rFonts w:hint="eastAsia" w:ascii="宋体" w:hAnsi="宋体"/>
          <w:snapToGrid w:val="0"/>
          <w:color w:val="auto"/>
          <w:kern w:val="0"/>
        </w:rPr>
        <w:t>m</w:t>
      </w:r>
      <w:r>
        <w:rPr>
          <w:rFonts w:ascii="宋体" w:hAnsi="宋体"/>
          <w:snapToGrid w:val="0"/>
          <w:color w:val="auto"/>
          <w:kern w:val="0"/>
          <w:vertAlign w:val="superscript"/>
        </w:rPr>
        <w:t>3</w:t>
      </w:r>
      <w:r>
        <w:rPr>
          <w:rFonts w:hint="eastAsia" w:ascii="宋体" w:hAnsi="宋体"/>
          <w:snapToGrid w:val="0"/>
          <w:color w:val="auto"/>
          <w:kern w:val="0"/>
        </w:rPr>
        <w:t>/</w:t>
      </w:r>
      <w:r>
        <w:rPr>
          <w:rFonts w:ascii="宋体" w:hAnsi="宋体"/>
          <w:snapToGrid w:val="0"/>
          <w:color w:val="auto"/>
          <w:kern w:val="0"/>
        </w:rPr>
        <w:t>d,</w:t>
      </w:r>
      <w:r>
        <w:rPr>
          <w:rFonts w:hint="eastAsia" w:ascii="宋体" w:hAnsi="宋体"/>
          <w:snapToGrid w:val="0"/>
          <w:color w:val="auto"/>
          <w:kern w:val="0"/>
        </w:rPr>
        <w:t xml:space="preserve"> 根据《小城镇污水处理建设标准》，负荷等级均为三级负荷。负荷计算表详见下表：</w:t>
      </w:r>
    </w:p>
    <w:p w14:paraId="4F47BD31">
      <w:pPr>
        <w:pStyle w:val="71"/>
        <w:snapToGrid/>
        <w:ind w:firstLine="0" w:firstLineChars="0"/>
        <w:jc w:val="center"/>
        <w:rPr>
          <w:rFonts w:hint="eastAsia" w:ascii="宋体" w:hAnsi="宋体"/>
          <w:b/>
          <w:bCs/>
          <w:snapToGrid w:val="0"/>
          <w:color w:val="auto"/>
          <w:kern w:val="0"/>
        </w:rPr>
      </w:pPr>
      <w:r>
        <w:rPr>
          <w:rFonts w:hint="eastAsia" w:ascii="宋体" w:hAnsi="宋体"/>
          <w:b/>
          <w:bCs/>
          <w:snapToGrid w:val="0"/>
          <w:color w:val="auto"/>
          <w:kern w:val="0"/>
        </w:rPr>
        <w:t>负荷计算表</w:t>
      </w:r>
    </w:p>
    <w:tbl>
      <w:tblPr>
        <w:tblStyle w:val="52"/>
        <w:tblW w:w="42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3442"/>
        <w:gridCol w:w="3923"/>
      </w:tblGrid>
      <w:tr w14:paraId="50C4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7FEDD305">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序号</w:t>
            </w:r>
          </w:p>
        </w:tc>
        <w:tc>
          <w:tcPr>
            <w:tcW w:w="2000" w:type="pct"/>
          </w:tcPr>
          <w:p w14:paraId="44190467">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污水处理站规模</w:t>
            </w:r>
          </w:p>
        </w:tc>
        <w:tc>
          <w:tcPr>
            <w:tcW w:w="2279" w:type="pct"/>
          </w:tcPr>
          <w:p w14:paraId="48EB53EC">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用电负荷</w:t>
            </w:r>
          </w:p>
        </w:tc>
      </w:tr>
      <w:tr w14:paraId="5AD0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531037FA">
            <w:pPr>
              <w:pStyle w:val="71"/>
              <w:snapToGrid/>
              <w:ind w:firstLine="0" w:firstLineChars="0"/>
              <w:jc w:val="center"/>
              <w:rPr>
                <w:rFonts w:hint="eastAsia" w:ascii="宋体" w:hAnsi="宋体" w:eastAsia="宋体"/>
                <w:snapToGrid w:val="0"/>
                <w:color w:val="auto"/>
                <w:kern w:val="0"/>
                <w:lang w:eastAsia="zh-CN"/>
              </w:rPr>
            </w:pPr>
            <w:r>
              <w:rPr>
                <w:rFonts w:hint="eastAsia" w:ascii="宋体" w:hAnsi="宋体"/>
                <w:snapToGrid w:val="0"/>
                <w:color w:val="auto"/>
                <w:kern w:val="0"/>
                <w:lang w:val="en-US" w:eastAsia="zh-CN"/>
              </w:rPr>
              <w:t>1</w:t>
            </w:r>
          </w:p>
        </w:tc>
        <w:tc>
          <w:tcPr>
            <w:tcW w:w="2000" w:type="pct"/>
          </w:tcPr>
          <w:p w14:paraId="703DF6B2">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lang w:val="en-US" w:eastAsia="zh-CN"/>
              </w:rPr>
              <w:t>60</w:t>
            </w:r>
            <w:r>
              <w:rPr>
                <w:rFonts w:ascii="宋体" w:hAnsi="宋体"/>
                <w:snapToGrid w:val="0"/>
                <w:color w:val="auto"/>
                <w:kern w:val="0"/>
              </w:rPr>
              <w:t>m</w:t>
            </w:r>
            <w:r>
              <w:rPr>
                <w:rFonts w:ascii="宋体" w:hAnsi="宋体"/>
                <w:snapToGrid w:val="0"/>
                <w:color w:val="auto"/>
                <w:kern w:val="0"/>
                <w:vertAlign w:val="superscript"/>
              </w:rPr>
              <w:t>3</w:t>
            </w:r>
          </w:p>
        </w:tc>
        <w:tc>
          <w:tcPr>
            <w:tcW w:w="2279" w:type="pct"/>
          </w:tcPr>
          <w:p w14:paraId="5C0A2DBB">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lang w:val="en-US" w:eastAsia="zh-CN"/>
              </w:rPr>
              <w:t>1.47</w:t>
            </w:r>
            <w:r>
              <w:rPr>
                <w:rFonts w:ascii="宋体" w:hAnsi="宋体"/>
                <w:snapToGrid w:val="0"/>
                <w:color w:val="auto"/>
                <w:kern w:val="0"/>
              </w:rPr>
              <w:t>kW</w:t>
            </w:r>
          </w:p>
        </w:tc>
      </w:tr>
    </w:tbl>
    <w:p w14:paraId="29ADB735">
      <w:pPr>
        <w:pStyle w:val="71"/>
        <w:snapToGrid/>
        <w:ind w:firstLine="480"/>
        <w:rPr>
          <w:rFonts w:ascii="宋体" w:hAnsi="宋体"/>
          <w:snapToGrid w:val="0"/>
          <w:color w:val="auto"/>
          <w:kern w:val="0"/>
        </w:rPr>
      </w:pPr>
      <w:r>
        <w:rPr>
          <w:rFonts w:hint="eastAsia" w:ascii="宋体" w:hAnsi="宋体"/>
          <w:snapToGrid w:val="0"/>
          <w:color w:val="auto"/>
          <w:kern w:val="0"/>
        </w:rPr>
        <w:t>（2）供电电源</w:t>
      </w:r>
    </w:p>
    <w:p w14:paraId="0BDFA7D9">
      <w:pPr>
        <w:pStyle w:val="71"/>
        <w:snapToGrid/>
        <w:ind w:firstLine="480"/>
        <w:rPr>
          <w:rFonts w:ascii="宋体" w:hAnsi="宋体"/>
          <w:snapToGrid w:val="0"/>
          <w:color w:val="auto"/>
          <w:kern w:val="0"/>
        </w:rPr>
      </w:pPr>
      <w:r>
        <w:rPr>
          <w:rFonts w:hint="eastAsia" w:ascii="宋体" w:hAnsi="宋体"/>
          <w:snapToGrid w:val="0"/>
          <w:color w:val="auto"/>
          <w:kern w:val="0"/>
        </w:rPr>
        <w:t>经过现场调查，本次设计污水处理站所处位置农村电网丰富，均能就近接入2</w:t>
      </w:r>
      <w:r>
        <w:rPr>
          <w:rFonts w:ascii="宋体" w:hAnsi="宋体"/>
          <w:snapToGrid w:val="0"/>
          <w:color w:val="auto"/>
          <w:kern w:val="0"/>
        </w:rPr>
        <w:t>20V</w:t>
      </w:r>
      <w:r>
        <w:rPr>
          <w:rFonts w:hint="eastAsia" w:ascii="宋体" w:hAnsi="宋体"/>
          <w:snapToGrid w:val="0"/>
          <w:color w:val="auto"/>
          <w:kern w:val="0"/>
        </w:rPr>
        <w:t>农村电网。</w:t>
      </w:r>
    </w:p>
    <w:p w14:paraId="248E231E">
      <w:pPr>
        <w:pStyle w:val="71"/>
        <w:snapToGrid/>
        <w:ind w:firstLine="480"/>
        <w:rPr>
          <w:rFonts w:ascii="宋体" w:hAnsi="宋体"/>
          <w:snapToGrid w:val="0"/>
          <w:color w:val="auto"/>
          <w:kern w:val="0"/>
        </w:rPr>
      </w:pPr>
      <w:r>
        <w:rPr>
          <w:rFonts w:hint="eastAsia" w:ascii="宋体" w:hAnsi="宋体"/>
          <w:snapToGrid w:val="0"/>
          <w:color w:val="auto"/>
          <w:kern w:val="0"/>
        </w:rPr>
        <w:t>（3）供电设计</w:t>
      </w:r>
    </w:p>
    <w:p w14:paraId="63E1CE8C">
      <w:pPr>
        <w:pStyle w:val="71"/>
        <w:snapToGrid/>
        <w:ind w:firstLine="480"/>
        <w:rPr>
          <w:rFonts w:ascii="宋体" w:hAnsi="宋体"/>
          <w:snapToGrid w:val="0"/>
          <w:color w:val="auto"/>
          <w:kern w:val="0"/>
        </w:rPr>
      </w:pPr>
      <w:r>
        <w:rPr>
          <w:rFonts w:hint="eastAsia" w:ascii="宋体" w:hAnsi="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snapToGrid w:val="0"/>
          <w:color w:val="auto"/>
          <w:kern w:val="0"/>
          <w:lang w:val="en-US" w:eastAsia="zh-CN"/>
        </w:rPr>
        <w:t>设备</w:t>
      </w:r>
      <w:r>
        <w:rPr>
          <w:rFonts w:hint="eastAsia" w:ascii="宋体" w:hAnsi="宋体"/>
          <w:snapToGrid w:val="0"/>
          <w:color w:val="auto"/>
          <w:kern w:val="0"/>
        </w:rPr>
        <w:t>外壳内。本次设计仅需考虑外部电源接入。采用架空线路就近接入农村电网。</w:t>
      </w:r>
    </w:p>
    <w:p w14:paraId="14393D44">
      <w:pPr>
        <w:pStyle w:val="71"/>
        <w:snapToGrid/>
        <w:ind w:firstLine="480"/>
        <w:rPr>
          <w:rFonts w:hint="eastAsia" w:ascii="宋体" w:hAnsi="宋体"/>
          <w:snapToGrid w:val="0"/>
          <w:color w:val="auto"/>
          <w:kern w:val="0"/>
        </w:rPr>
      </w:pPr>
      <w:r>
        <w:rPr>
          <w:rFonts w:hint="eastAsia" w:ascii="宋体" w:hAnsi="宋体"/>
          <w:snapToGrid w:val="0"/>
          <w:color w:val="auto"/>
          <w:kern w:val="0"/>
        </w:rPr>
        <w:t>（</w:t>
      </w:r>
      <w:r>
        <w:rPr>
          <w:rFonts w:ascii="宋体" w:hAnsi="宋体"/>
          <w:snapToGrid w:val="0"/>
          <w:color w:val="auto"/>
          <w:kern w:val="0"/>
        </w:rPr>
        <w:t>4</w:t>
      </w:r>
      <w:r>
        <w:rPr>
          <w:rFonts w:hint="eastAsia" w:ascii="宋体" w:hAnsi="宋体"/>
          <w:snapToGrid w:val="0"/>
          <w:color w:val="auto"/>
          <w:kern w:val="0"/>
        </w:rPr>
        <w:t>）防雷接地</w:t>
      </w:r>
    </w:p>
    <w:p w14:paraId="746DF4E9">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）项目防雷接地、工作接地、保护接地、控制系统接地采用共用接地体方式，要求共用接地体接地电阻值不大于</w:t>
      </w:r>
      <w:r>
        <w:rPr>
          <w:rFonts w:hint="eastAsia" w:ascii="宋体" w:hAnsi="宋体"/>
          <w:snapToGrid w:val="0"/>
          <w:color w:val="auto"/>
          <w:kern w:val="0"/>
          <w:lang w:val="en-US" w:eastAsia="zh-CN"/>
        </w:rPr>
        <w:t>4</w:t>
      </w:r>
      <w:r>
        <w:rPr>
          <w:rFonts w:hint="eastAsia" w:ascii="宋体" w:hAnsi="宋体"/>
          <w:snapToGrid w:val="0"/>
          <w:color w:val="auto"/>
          <w:kern w:val="0"/>
        </w:rPr>
        <w:t>欧姆，并于成套设备内采用等电位联接。</w:t>
      </w:r>
    </w:p>
    <w:p w14:paraId="1BB5C36C">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）低压配电系统采用</w:t>
      </w:r>
      <w:r>
        <w:rPr>
          <w:rFonts w:ascii="宋体" w:hAnsi="宋体"/>
          <w:snapToGrid w:val="0"/>
          <w:color w:val="auto"/>
          <w:kern w:val="0"/>
        </w:rPr>
        <w:t>TN-S</w:t>
      </w:r>
      <w:r>
        <w:rPr>
          <w:rFonts w:hint="eastAsia" w:ascii="宋体" w:hAnsi="宋体"/>
          <w:snapToGrid w:val="0"/>
          <w:color w:val="auto"/>
          <w:kern w:val="0"/>
        </w:rPr>
        <w:t>接地形式，</w:t>
      </w:r>
      <w:r>
        <w:rPr>
          <w:rFonts w:ascii="宋体" w:hAnsi="宋体"/>
          <w:snapToGrid w:val="0"/>
          <w:color w:val="auto"/>
          <w:kern w:val="0"/>
        </w:rPr>
        <w:t>N</w:t>
      </w:r>
      <w:r>
        <w:rPr>
          <w:rFonts w:hint="eastAsia" w:ascii="宋体" w:hAnsi="宋体"/>
          <w:snapToGrid w:val="0"/>
          <w:color w:val="auto"/>
          <w:kern w:val="0"/>
        </w:rPr>
        <w:t>线与</w:t>
      </w:r>
      <w:r>
        <w:rPr>
          <w:rFonts w:ascii="宋体" w:hAnsi="宋体"/>
          <w:snapToGrid w:val="0"/>
          <w:color w:val="auto"/>
          <w:kern w:val="0"/>
        </w:rPr>
        <w:t>PE</w:t>
      </w:r>
      <w:r>
        <w:rPr>
          <w:rFonts w:hint="eastAsia" w:ascii="宋体" w:hAnsi="宋体"/>
          <w:snapToGrid w:val="0"/>
          <w:color w:val="auto"/>
          <w:kern w:val="0"/>
        </w:rPr>
        <w:t>线在变电所分开后不再合并。两线应以不同颜色区分，线路敷设时两线不得混接或错接。所有正常不带电，而当绝缘破坏有可能呈现电压的电气设备金属外壳、金属支架、电缆金属外皮、穿线钢管等均应可靠接</w:t>
      </w:r>
      <w:r>
        <w:rPr>
          <w:rFonts w:ascii="宋体" w:hAnsi="宋体"/>
          <w:snapToGrid w:val="0"/>
          <w:color w:val="auto"/>
          <w:kern w:val="0"/>
        </w:rPr>
        <w:t>PE</w:t>
      </w:r>
      <w:r>
        <w:rPr>
          <w:rFonts w:hint="eastAsia" w:ascii="宋体" w:hAnsi="宋体"/>
          <w:snapToGrid w:val="0"/>
          <w:color w:val="auto"/>
          <w:kern w:val="0"/>
        </w:rPr>
        <w:t>线保护。</w:t>
      </w:r>
      <w:r>
        <w:rPr>
          <w:rFonts w:ascii="宋体" w:hAnsi="宋体"/>
          <w:snapToGrid w:val="0"/>
          <w:color w:val="auto"/>
          <w:kern w:val="0"/>
        </w:rPr>
        <w:t xml:space="preserve"> </w:t>
      </w:r>
    </w:p>
    <w:p w14:paraId="6FE46ED3">
      <w:pPr>
        <w:pStyle w:val="71"/>
        <w:snapToGrid/>
        <w:ind w:firstLine="480"/>
        <w:rPr>
          <w:rFonts w:hint="eastAsia"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）处理站所有外露金属管道、金属器件均应与箱体接地网可靠连接。</w:t>
      </w:r>
    </w:p>
    <w:p w14:paraId="579D5203">
      <w:pPr>
        <w:pStyle w:val="71"/>
        <w:snapToGrid/>
        <w:ind w:firstLine="480"/>
        <w:rPr>
          <w:rFonts w:hint="eastAsia" w:ascii="宋体" w:hAnsi="宋体"/>
          <w:snapToGrid w:val="0"/>
          <w:color w:val="auto"/>
          <w:kern w:val="0"/>
        </w:rPr>
      </w:pPr>
      <w:r>
        <w:rPr>
          <w:rFonts w:hint="eastAsia" w:ascii="宋体" w:hAnsi="宋体"/>
          <w:snapToGrid w:val="0"/>
          <w:color w:val="auto"/>
          <w:kern w:val="0"/>
        </w:rPr>
        <w:t>（5）电气抗震</w:t>
      </w:r>
    </w:p>
    <w:p w14:paraId="4C445293">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）配电箱（柜）的安装：</w:t>
      </w:r>
    </w:p>
    <w:p w14:paraId="557D74AF">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①</w:t>
      </w:r>
      <w:r>
        <w:rPr>
          <w:rFonts w:hint="eastAsia" w:ascii="宋体" w:hAnsi="宋体"/>
          <w:snapToGrid w:val="0"/>
          <w:color w:val="auto"/>
          <w:kern w:val="0"/>
        </w:rPr>
        <w:t>配电箱（柜）的安装螺栓或焊接强度应满足抗震要求；当底部安装螺栓或焊接强度不够时，应将</w:t>
      </w:r>
      <w:r>
        <w:rPr>
          <w:rFonts w:hint="eastAsia" w:ascii="宋体" w:hAnsi="宋体"/>
          <w:snapToGrid w:val="0"/>
          <w:color w:val="auto"/>
          <w:kern w:val="0"/>
          <w:lang w:eastAsia="zh-CN"/>
        </w:rPr>
        <w:t>顶部</w:t>
      </w:r>
      <w:r>
        <w:rPr>
          <w:rFonts w:hint="eastAsia" w:ascii="宋体" w:hAnsi="宋体"/>
          <w:snapToGrid w:val="0"/>
          <w:color w:val="auto"/>
          <w:kern w:val="0"/>
        </w:rPr>
        <w:t>进行连接；</w:t>
      </w:r>
    </w:p>
    <w:p w14:paraId="254E40FB">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②</w:t>
      </w:r>
      <w:r>
        <w:rPr>
          <w:rFonts w:hint="eastAsia" w:ascii="宋体" w:hAnsi="宋体"/>
          <w:snapToGrid w:val="0"/>
          <w:color w:val="auto"/>
          <w:kern w:val="0"/>
        </w:rPr>
        <w:t>当配电箱（柜）非靠墙落地安装时，根部应采用金属膨胀螺栓或焊接的固定方式。壁式安装的配电箱与墙壁之间应采用金属膨胀螺栓连接；</w:t>
      </w:r>
    </w:p>
    <w:p w14:paraId="5643FC08">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③</w:t>
      </w:r>
      <w:r>
        <w:rPr>
          <w:rFonts w:hint="eastAsia" w:ascii="宋体" w:hAnsi="宋体"/>
          <w:snapToGrid w:val="0"/>
          <w:color w:val="auto"/>
          <w:kern w:val="0"/>
        </w:rPr>
        <w:t>配电箱（柜）内的元器件应考虑与</w:t>
      </w:r>
      <w:r>
        <w:rPr>
          <w:rFonts w:hint="eastAsia" w:ascii="宋体" w:hAnsi="宋体"/>
          <w:snapToGrid w:val="0"/>
          <w:color w:val="auto"/>
          <w:kern w:val="0"/>
          <w:lang w:eastAsia="zh-CN"/>
        </w:rPr>
        <w:t>支撑</w:t>
      </w:r>
      <w:r>
        <w:rPr>
          <w:rFonts w:hint="eastAsia" w:ascii="宋体" w:hAnsi="宋体"/>
          <w:snapToGrid w:val="0"/>
          <w:color w:val="auto"/>
          <w:kern w:val="0"/>
        </w:rPr>
        <w:t>结构间的相互作用，元器件之间采用软连接，接线处应做防震处理；</w:t>
      </w:r>
    </w:p>
    <w:p w14:paraId="4D3AC9BA">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④</w:t>
      </w:r>
      <w:r>
        <w:rPr>
          <w:rFonts w:hint="eastAsia" w:ascii="宋体" w:hAnsi="宋体"/>
          <w:snapToGrid w:val="0"/>
          <w:color w:val="auto"/>
          <w:kern w:val="0"/>
        </w:rPr>
        <w:t>配电箱（柜）面上的仪表应与柜体组装牢固。</w:t>
      </w:r>
    </w:p>
    <w:p w14:paraId="66940C9A">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）配电导体应符合下列规定：</w:t>
      </w:r>
    </w:p>
    <w:p w14:paraId="759D81A7">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①</w:t>
      </w:r>
      <w:r>
        <w:rPr>
          <w:rFonts w:hint="eastAsia" w:ascii="宋体" w:hAnsi="宋体"/>
          <w:snapToGrid w:val="0"/>
          <w:color w:val="auto"/>
          <w:kern w:val="0"/>
        </w:rPr>
        <w:t>采用电缆或电线；</w:t>
      </w:r>
    </w:p>
    <w:p w14:paraId="2A60EF58">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②</w:t>
      </w:r>
      <w:r>
        <w:rPr>
          <w:rFonts w:hint="eastAsia" w:ascii="宋体" w:hAnsi="宋体"/>
          <w:snapToGrid w:val="0"/>
          <w:color w:val="auto"/>
          <w:kern w:val="0"/>
        </w:rPr>
        <w:t>在电缆桥架、电缆槽盒内敷设的缆线在引进、引出和转弯处，应在长度上留有余量；</w:t>
      </w:r>
    </w:p>
    <w:p w14:paraId="0AD49B49">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③</w:t>
      </w:r>
      <w:r>
        <w:rPr>
          <w:rFonts w:hint="eastAsia" w:ascii="宋体" w:hAnsi="宋体"/>
          <w:snapToGrid w:val="0"/>
          <w:color w:val="auto"/>
          <w:kern w:val="0"/>
        </w:rPr>
        <w:t>接地线应采取防止地震时被切断的措施。</w:t>
      </w:r>
    </w:p>
    <w:p w14:paraId="5199B080">
      <w:pPr>
        <w:pStyle w:val="71"/>
        <w:snapToGrid/>
        <w:ind w:firstLine="480"/>
        <w:rPr>
          <w:rFonts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）电气管路敷设时应符合下列规定：</w:t>
      </w:r>
    </w:p>
    <w:p w14:paraId="7CEA5066">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①</w:t>
      </w:r>
      <w:r>
        <w:rPr>
          <w:rFonts w:hint="eastAsia" w:ascii="宋体" w:hAnsi="宋体"/>
          <w:snapToGrid w:val="0"/>
          <w:color w:val="auto"/>
          <w:kern w:val="0"/>
        </w:rPr>
        <w:t>线路采用金属导管、刚性塑料导管、电缆梯架或电缆槽盒敷设时，应使用刚性托架或支架固定，不宜使用吊架。当必须使用吊架时，应安装横向防晃吊架；</w:t>
      </w:r>
    </w:p>
    <w:p w14:paraId="07283E20">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②</w:t>
      </w:r>
      <w:r>
        <w:rPr>
          <w:rFonts w:hint="eastAsia" w:ascii="宋体" w:hAnsi="宋体"/>
          <w:snapToGrid w:val="0"/>
          <w:color w:val="auto"/>
          <w:kern w:val="0"/>
        </w:rPr>
        <w:t>当金属导管、刚性塑料导管、电缆梯架或电缆槽盒穿越防火分区时，其缝隙应采用柔性防火封堵材料封堵，并应在贯穿部位附近设置抗震支撑；</w:t>
      </w:r>
    </w:p>
    <w:p w14:paraId="0D922D25">
      <w:pPr>
        <w:pStyle w:val="71"/>
        <w:snapToGrid/>
        <w:ind w:firstLine="480"/>
        <w:rPr>
          <w:rFonts w:ascii="宋体" w:hAnsi="宋体"/>
          <w:snapToGrid w:val="0"/>
          <w:color w:val="auto"/>
          <w:kern w:val="0"/>
        </w:rPr>
      </w:pPr>
      <w:r>
        <w:rPr>
          <w:rFonts w:hint="eastAsia" w:ascii="宋体" w:hAnsi="宋体"/>
          <w:snapToGrid w:val="0"/>
          <w:color w:val="auto"/>
          <w:kern w:val="0"/>
          <w:lang w:val="en-US" w:eastAsia="zh-CN"/>
        </w:rPr>
        <w:t>③</w:t>
      </w:r>
      <w:r>
        <w:rPr>
          <w:rFonts w:hint="eastAsia" w:ascii="宋体" w:hAnsi="宋体"/>
          <w:snapToGrid w:val="0"/>
          <w:color w:val="auto"/>
          <w:kern w:val="0"/>
        </w:rPr>
        <w:t>金属导管、刚性塑料导管的直线段部分每隔</w:t>
      </w:r>
      <w:r>
        <w:rPr>
          <w:rFonts w:ascii="宋体" w:hAnsi="宋体"/>
          <w:snapToGrid w:val="0"/>
          <w:color w:val="auto"/>
          <w:kern w:val="0"/>
        </w:rPr>
        <w:t>30m</w:t>
      </w:r>
      <w:r>
        <w:rPr>
          <w:rFonts w:hint="eastAsia" w:ascii="宋体" w:hAnsi="宋体"/>
          <w:snapToGrid w:val="0"/>
          <w:color w:val="auto"/>
          <w:kern w:val="0"/>
        </w:rPr>
        <w:t>应设置伸缩节。</w:t>
      </w:r>
    </w:p>
    <w:p w14:paraId="2FDC489D">
      <w:pPr>
        <w:pStyle w:val="71"/>
        <w:snapToGrid/>
        <w:ind w:firstLine="480"/>
        <w:rPr>
          <w:rFonts w:ascii="宋体" w:hAnsi="宋体"/>
          <w:snapToGrid w:val="0"/>
          <w:color w:val="auto"/>
          <w:kern w:val="0"/>
        </w:rPr>
      </w:pPr>
      <w:r>
        <w:rPr>
          <w:rFonts w:hint="eastAsia" w:ascii="宋体" w:hAnsi="宋体"/>
          <w:snapToGrid w:val="0"/>
          <w:color w:val="auto"/>
          <w:kern w:val="0"/>
        </w:rPr>
        <w:t>（6）其他</w:t>
      </w:r>
    </w:p>
    <w:p w14:paraId="067D1EC4">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）凡与施工有关而又未说明之处，参见国家标准图集施工，或与设计院协商解决。</w:t>
      </w:r>
    </w:p>
    <w:p w14:paraId="489C509F">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）施工时电气安装人员应与土建施工密切配合，做好电气管线的预埋，有关箱体的预留孔洞以及接地等工作。</w:t>
      </w:r>
    </w:p>
    <w:p w14:paraId="54D29B90">
      <w:pPr>
        <w:pStyle w:val="71"/>
        <w:snapToGrid/>
        <w:ind w:firstLine="480"/>
        <w:rPr>
          <w:rFonts w:hint="eastAsia"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）电气设备及管线的安装应符合国家现行的电气装置安装工程施工及验收规范。</w:t>
      </w:r>
    </w:p>
    <w:p w14:paraId="70AE3CF6">
      <w:pPr>
        <w:pStyle w:val="71"/>
        <w:snapToGrid/>
        <w:ind w:firstLine="480"/>
        <w:rPr>
          <w:rFonts w:ascii="宋体" w:hAnsi="宋体"/>
          <w:snapToGrid w:val="0"/>
          <w:color w:val="auto"/>
          <w:kern w:val="0"/>
        </w:rPr>
      </w:pPr>
      <w:r>
        <w:rPr>
          <w:rFonts w:ascii="宋体" w:hAnsi="宋体"/>
          <w:snapToGrid w:val="0"/>
          <w:color w:val="auto"/>
          <w:kern w:val="0"/>
        </w:rPr>
        <w:t>4</w:t>
      </w:r>
      <w:r>
        <w:rPr>
          <w:rFonts w:hint="eastAsia" w:ascii="宋体" w:hAnsi="宋体"/>
          <w:snapToGrid w:val="0"/>
          <w:color w:val="auto"/>
          <w:kern w:val="0"/>
        </w:rPr>
        <w:t>）在厂家深化设计及提供的配套系统和施工时应严格执行《城镇给水排水技术规范》</w:t>
      </w:r>
      <w:r>
        <w:rPr>
          <w:rFonts w:ascii="宋体" w:hAnsi="宋体"/>
          <w:snapToGrid w:val="0"/>
          <w:color w:val="auto"/>
          <w:kern w:val="0"/>
        </w:rPr>
        <w:t>GB50788-2012</w:t>
      </w:r>
      <w:r>
        <w:rPr>
          <w:rFonts w:hint="eastAsia" w:ascii="宋体" w:hAnsi="宋体"/>
          <w:snapToGrid w:val="0"/>
          <w:color w:val="auto"/>
          <w:kern w:val="0"/>
        </w:rPr>
        <w:t>第</w:t>
      </w:r>
      <w:r>
        <w:rPr>
          <w:rFonts w:ascii="宋体" w:hAnsi="宋体"/>
          <w:snapToGrid w:val="0"/>
          <w:color w:val="auto"/>
          <w:kern w:val="0"/>
        </w:rPr>
        <w:t>7.1</w:t>
      </w:r>
      <w:r>
        <w:rPr>
          <w:rFonts w:hint="eastAsia" w:ascii="宋体" w:hAnsi="宋体"/>
          <w:snapToGrid w:val="0"/>
          <w:color w:val="auto"/>
          <w:kern w:val="0"/>
        </w:rPr>
        <w:t>、</w:t>
      </w:r>
      <w:r>
        <w:rPr>
          <w:rFonts w:ascii="宋体" w:hAnsi="宋体"/>
          <w:snapToGrid w:val="0"/>
          <w:color w:val="auto"/>
          <w:kern w:val="0"/>
        </w:rPr>
        <w:t>7.3</w:t>
      </w:r>
      <w:r>
        <w:rPr>
          <w:rFonts w:hint="eastAsia" w:ascii="宋体" w:hAnsi="宋体"/>
          <w:snapToGrid w:val="0"/>
          <w:color w:val="auto"/>
          <w:kern w:val="0"/>
        </w:rPr>
        <w:t>、</w:t>
      </w:r>
      <w:r>
        <w:rPr>
          <w:rFonts w:ascii="宋体" w:hAnsi="宋体"/>
          <w:snapToGrid w:val="0"/>
          <w:color w:val="auto"/>
          <w:kern w:val="0"/>
        </w:rPr>
        <w:t>7.4</w:t>
      </w:r>
      <w:r>
        <w:rPr>
          <w:rFonts w:hint="eastAsia" w:ascii="宋体" w:hAnsi="宋体"/>
          <w:snapToGrid w:val="0"/>
          <w:color w:val="auto"/>
          <w:kern w:val="0"/>
        </w:rPr>
        <w:t>节对电气专业、自控系统的要求。</w:t>
      </w:r>
    </w:p>
    <w:p w14:paraId="0C5C9FA0">
      <w:pPr>
        <w:pStyle w:val="71"/>
        <w:snapToGrid/>
        <w:ind w:firstLine="480"/>
        <w:rPr>
          <w:rFonts w:ascii="宋体" w:hAnsi="宋体"/>
          <w:snapToGrid w:val="0"/>
          <w:color w:val="auto"/>
          <w:kern w:val="0"/>
        </w:rPr>
      </w:pPr>
      <w:r>
        <w:rPr>
          <w:rFonts w:ascii="宋体" w:hAnsi="宋体"/>
          <w:snapToGrid w:val="0"/>
          <w:color w:val="auto"/>
          <w:kern w:val="0"/>
        </w:rPr>
        <w:t>5</w:t>
      </w:r>
      <w:r>
        <w:rPr>
          <w:rFonts w:hint="eastAsia" w:ascii="宋体" w:hAnsi="宋体"/>
          <w:snapToGrid w:val="0"/>
          <w:color w:val="auto"/>
          <w:kern w:val="0"/>
        </w:rPr>
        <w:t>）厂家提供配电电气设备及系统时以及施工时还应严格执行</w:t>
      </w:r>
      <w:r>
        <w:rPr>
          <w:rFonts w:ascii="宋体" w:hAnsi="宋体"/>
          <w:snapToGrid w:val="0"/>
          <w:color w:val="auto"/>
          <w:kern w:val="0"/>
        </w:rPr>
        <w:t>CJJ 120-2018</w:t>
      </w:r>
      <w:r>
        <w:rPr>
          <w:rFonts w:hint="eastAsia" w:ascii="宋体" w:hAnsi="宋体"/>
          <w:snapToGrid w:val="0"/>
          <w:color w:val="auto"/>
          <w:kern w:val="0"/>
        </w:rPr>
        <w:t>，第</w:t>
      </w:r>
      <w:r>
        <w:rPr>
          <w:rFonts w:ascii="宋体" w:hAnsi="宋体"/>
          <w:snapToGrid w:val="0"/>
          <w:color w:val="auto"/>
          <w:kern w:val="0"/>
        </w:rPr>
        <w:t>4</w:t>
      </w:r>
      <w:r>
        <w:rPr>
          <w:rFonts w:hint="eastAsia" w:ascii="宋体" w:hAnsi="宋体"/>
          <w:snapToGrid w:val="0"/>
          <w:color w:val="auto"/>
          <w:kern w:val="0"/>
        </w:rPr>
        <w:t>、</w:t>
      </w:r>
      <w:r>
        <w:rPr>
          <w:rFonts w:ascii="宋体" w:hAnsi="宋体"/>
          <w:snapToGrid w:val="0"/>
          <w:color w:val="auto"/>
          <w:kern w:val="0"/>
        </w:rPr>
        <w:t>5</w:t>
      </w:r>
      <w:r>
        <w:rPr>
          <w:rFonts w:hint="eastAsia" w:ascii="宋体" w:hAnsi="宋体"/>
          <w:snapToGrid w:val="0"/>
          <w:color w:val="auto"/>
          <w:kern w:val="0"/>
        </w:rPr>
        <w:t>章中相应的电气和自动控制系统要求。</w:t>
      </w:r>
    </w:p>
    <w:p w14:paraId="180683D3">
      <w:pPr>
        <w:pStyle w:val="71"/>
        <w:snapToGrid/>
        <w:ind w:firstLine="480"/>
        <w:rPr>
          <w:rFonts w:ascii="宋体" w:hAnsi="宋体"/>
          <w:snapToGrid w:val="0"/>
          <w:color w:val="auto"/>
          <w:kern w:val="0"/>
        </w:rPr>
      </w:pPr>
      <w:r>
        <w:rPr>
          <w:rFonts w:ascii="宋体" w:hAnsi="宋体"/>
          <w:snapToGrid w:val="0"/>
          <w:color w:val="auto"/>
          <w:kern w:val="0"/>
        </w:rPr>
        <w:t>6</w:t>
      </w:r>
      <w:r>
        <w:rPr>
          <w:rFonts w:hint="eastAsia" w:ascii="宋体" w:hAnsi="宋体"/>
          <w:snapToGrid w:val="0"/>
          <w:color w:val="auto"/>
          <w:kern w:val="0"/>
        </w:rPr>
        <w:t>）本工程应满足</w:t>
      </w:r>
      <w:r>
        <w:rPr>
          <w:rFonts w:ascii="宋体" w:hAnsi="宋体"/>
          <w:snapToGrid w:val="0"/>
          <w:color w:val="auto"/>
          <w:kern w:val="0"/>
        </w:rPr>
        <w:t>GB51348-2019</w:t>
      </w:r>
      <w:r>
        <w:rPr>
          <w:rFonts w:hint="eastAsia" w:ascii="宋体" w:hAnsi="宋体"/>
          <w:snapToGrid w:val="0"/>
          <w:color w:val="auto"/>
          <w:kern w:val="0"/>
        </w:rPr>
        <w:t>，</w:t>
      </w:r>
      <w:r>
        <w:rPr>
          <w:rFonts w:ascii="宋体" w:hAnsi="宋体"/>
          <w:snapToGrid w:val="0"/>
          <w:color w:val="auto"/>
          <w:kern w:val="0"/>
        </w:rPr>
        <w:t>3.2.1</w:t>
      </w:r>
      <w:r>
        <w:rPr>
          <w:rFonts w:hint="eastAsia" w:ascii="宋体" w:hAnsi="宋体"/>
          <w:snapToGrid w:val="0"/>
          <w:color w:val="auto"/>
          <w:kern w:val="0"/>
        </w:rPr>
        <w:t>、</w:t>
      </w:r>
      <w:r>
        <w:rPr>
          <w:rFonts w:ascii="宋体" w:hAnsi="宋体"/>
          <w:snapToGrid w:val="0"/>
          <w:color w:val="auto"/>
          <w:kern w:val="0"/>
        </w:rPr>
        <w:t>3.2.8</w:t>
      </w:r>
      <w:r>
        <w:rPr>
          <w:rFonts w:hint="eastAsia" w:ascii="宋体" w:hAnsi="宋体"/>
          <w:snapToGrid w:val="0"/>
          <w:color w:val="auto"/>
          <w:kern w:val="0"/>
        </w:rPr>
        <w:t>、</w:t>
      </w:r>
      <w:r>
        <w:rPr>
          <w:rFonts w:ascii="宋体" w:hAnsi="宋体"/>
          <w:snapToGrid w:val="0"/>
          <w:color w:val="auto"/>
          <w:kern w:val="0"/>
        </w:rPr>
        <w:t>3.3.4</w:t>
      </w:r>
      <w:r>
        <w:rPr>
          <w:rFonts w:hint="eastAsia" w:ascii="宋体" w:hAnsi="宋体"/>
          <w:snapToGrid w:val="0"/>
          <w:color w:val="auto"/>
          <w:kern w:val="0"/>
        </w:rPr>
        <w:t>、</w:t>
      </w:r>
      <w:r>
        <w:rPr>
          <w:rFonts w:ascii="宋体" w:hAnsi="宋体"/>
          <w:snapToGrid w:val="0"/>
          <w:color w:val="auto"/>
          <w:kern w:val="0"/>
        </w:rPr>
        <w:t>4.10.1</w:t>
      </w:r>
      <w:r>
        <w:rPr>
          <w:rFonts w:hint="eastAsia" w:ascii="宋体" w:hAnsi="宋体"/>
          <w:snapToGrid w:val="0"/>
          <w:color w:val="auto"/>
          <w:kern w:val="0"/>
        </w:rPr>
        <w:t>、</w:t>
      </w:r>
      <w:r>
        <w:rPr>
          <w:rFonts w:ascii="宋体" w:hAnsi="宋体"/>
          <w:snapToGrid w:val="0"/>
          <w:color w:val="auto"/>
          <w:kern w:val="0"/>
        </w:rPr>
        <w:t>8.1.6</w:t>
      </w:r>
      <w:r>
        <w:rPr>
          <w:rFonts w:hint="eastAsia" w:ascii="宋体" w:hAnsi="宋体"/>
          <w:snapToGrid w:val="0"/>
          <w:color w:val="auto"/>
          <w:kern w:val="0"/>
        </w:rPr>
        <w:t>、</w:t>
      </w:r>
      <w:r>
        <w:rPr>
          <w:rFonts w:ascii="宋体" w:hAnsi="宋体"/>
          <w:snapToGrid w:val="0"/>
          <w:color w:val="auto"/>
          <w:kern w:val="0"/>
        </w:rPr>
        <w:t>9.4.5</w:t>
      </w:r>
      <w:r>
        <w:rPr>
          <w:rFonts w:hint="eastAsia" w:ascii="宋体" w:hAnsi="宋体"/>
          <w:snapToGrid w:val="0"/>
          <w:color w:val="auto"/>
          <w:kern w:val="0"/>
        </w:rPr>
        <w:t>、</w:t>
      </w:r>
      <w:r>
        <w:rPr>
          <w:rFonts w:ascii="宋体" w:hAnsi="宋体"/>
          <w:snapToGrid w:val="0"/>
          <w:color w:val="auto"/>
          <w:kern w:val="0"/>
        </w:rPr>
        <w:t>11.8.8</w:t>
      </w:r>
      <w:r>
        <w:rPr>
          <w:rFonts w:hint="eastAsia" w:ascii="宋体" w:hAnsi="宋体"/>
          <w:snapToGrid w:val="0"/>
          <w:color w:val="auto"/>
          <w:kern w:val="0"/>
        </w:rPr>
        <w:t>、</w:t>
      </w:r>
      <w:r>
        <w:rPr>
          <w:rFonts w:ascii="宋体" w:hAnsi="宋体"/>
          <w:snapToGrid w:val="0"/>
          <w:color w:val="auto"/>
          <w:kern w:val="0"/>
        </w:rPr>
        <w:t>12.4.10</w:t>
      </w:r>
      <w:r>
        <w:rPr>
          <w:rFonts w:hint="eastAsia" w:ascii="宋体" w:hAnsi="宋体"/>
          <w:snapToGrid w:val="0"/>
          <w:color w:val="auto"/>
          <w:kern w:val="0"/>
        </w:rPr>
        <w:t>、</w:t>
      </w:r>
      <w:r>
        <w:rPr>
          <w:rFonts w:ascii="宋体" w:hAnsi="宋体"/>
          <w:snapToGrid w:val="0"/>
          <w:color w:val="auto"/>
          <w:kern w:val="0"/>
        </w:rPr>
        <w:t>12.4.14</w:t>
      </w:r>
      <w:r>
        <w:rPr>
          <w:rFonts w:hint="eastAsia" w:ascii="宋体" w:hAnsi="宋体"/>
          <w:snapToGrid w:val="0"/>
          <w:color w:val="auto"/>
          <w:kern w:val="0"/>
        </w:rPr>
        <w:t>、</w:t>
      </w:r>
      <w:r>
        <w:rPr>
          <w:rFonts w:ascii="宋体" w:hAnsi="宋体"/>
          <w:snapToGrid w:val="0"/>
          <w:color w:val="auto"/>
          <w:kern w:val="0"/>
        </w:rPr>
        <w:t>12.5.8</w:t>
      </w:r>
      <w:r>
        <w:rPr>
          <w:rFonts w:hint="eastAsia" w:ascii="宋体" w:hAnsi="宋体"/>
          <w:snapToGrid w:val="0"/>
          <w:color w:val="auto"/>
          <w:kern w:val="0"/>
        </w:rPr>
        <w:t>、</w:t>
      </w:r>
      <w:r>
        <w:rPr>
          <w:rFonts w:ascii="宋体" w:hAnsi="宋体"/>
          <w:snapToGrid w:val="0"/>
          <w:color w:val="auto"/>
          <w:kern w:val="0"/>
        </w:rPr>
        <w:t>14.4.3</w:t>
      </w:r>
      <w:r>
        <w:rPr>
          <w:rFonts w:hint="eastAsia" w:ascii="宋体" w:hAnsi="宋体"/>
          <w:snapToGrid w:val="0"/>
          <w:color w:val="auto"/>
          <w:kern w:val="0"/>
        </w:rPr>
        <w:t>、</w:t>
      </w:r>
      <w:r>
        <w:rPr>
          <w:rFonts w:ascii="宋体" w:hAnsi="宋体"/>
          <w:snapToGrid w:val="0"/>
          <w:color w:val="auto"/>
          <w:kern w:val="0"/>
        </w:rPr>
        <w:t>14.9.4</w:t>
      </w:r>
      <w:r>
        <w:rPr>
          <w:rFonts w:hint="eastAsia" w:ascii="宋体" w:hAnsi="宋体"/>
          <w:snapToGrid w:val="0"/>
          <w:color w:val="auto"/>
          <w:kern w:val="0"/>
        </w:rPr>
        <w:t>条的要求。</w:t>
      </w:r>
    </w:p>
    <w:p w14:paraId="5C1AA8E2">
      <w:pPr>
        <w:pStyle w:val="71"/>
        <w:snapToGrid/>
        <w:ind w:firstLine="480"/>
        <w:rPr>
          <w:rFonts w:ascii="宋体" w:hAnsi="宋体"/>
          <w:snapToGrid w:val="0"/>
          <w:color w:val="auto"/>
          <w:kern w:val="0"/>
        </w:rPr>
      </w:pPr>
      <w:r>
        <w:rPr>
          <w:rFonts w:ascii="宋体" w:hAnsi="宋体"/>
          <w:snapToGrid w:val="0"/>
          <w:color w:val="auto"/>
          <w:kern w:val="0"/>
        </w:rPr>
        <w:t>7</w:t>
      </w:r>
      <w:r>
        <w:rPr>
          <w:rFonts w:hint="eastAsia" w:ascii="宋体" w:hAnsi="宋体"/>
          <w:snapToGrid w:val="0"/>
          <w:color w:val="auto"/>
          <w:kern w:val="0"/>
        </w:rPr>
        <w:t>）在施工时应严格执行</w:t>
      </w:r>
      <w:r>
        <w:rPr>
          <w:rFonts w:ascii="宋体" w:hAnsi="宋体"/>
          <w:snapToGrid w:val="0"/>
          <w:color w:val="auto"/>
          <w:kern w:val="0"/>
        </w:rPr>
        <w:t>GB50303-2015</w:t>
      </w:r>
      <w:r>
        <w:rPr>
          <w:rFonts w:hint="eastAsia" w:ascii="宋体" w:hAnsi="宋体"/>
          <w:snapToGrid w:val="0"/>
          <w:color w:val="auto"/>
          <w:kern w:val="0"/>
        </w:rPr>
        <w:t>、</w:t>
      </w:r>
      <w:r>
        <w:rPr>
          <w:rFonts w:ascii="宋体" w:hAnsi="宋体"/>
          <w:snapToGrid w:val="0"/>
          <w:color w:val="auto"/>
          <w:kern w:val="0"/>
        </w:rPr>
        <w:t>GB50617-2010</w:t>
      </w:r>
      <w:r>
        <w:rPr>
          <w:rFonts w:hint="eastAsia" w:ascii="宋体" w:hAnsi="宋体"/>
          <w:snapToGrid w:val="0"/>
          <w:color w:val="auto"/>
          <w:kern w:val="0"/>
        </w:rPr>
        <w:t>等施工及验收规范的要求。</w:t>
      </w:r>
    </w:p>
    <w:p w14:paraId="7C982F29">
      <w:pPr>
        <w:pStyle w:val="71"/>
        <w:snapToGrid/>
        <w:ind w:firstLine="480"/>
        <w:rPr>
          <w:rFonts w:hint="eastAsia" w:ascii="宋体" w:hAnsi="宋体" w:cs="Times New Roman"/>
          <w:snapToGrid w:val="0"/>
          <w:color w:val="auto"/>
          <w:kern w:val="0"/>
          <w:lang w:eastAsia="zh-CN"/>
        </w:rPr>
      </w:pPr>
      <w:r>
        <w:rPr>
          <w:rFonts w:ascii="宋体" w:hAnsi="宋体"/>
          <w:snapToGrid w:val="0"/>
          <w:color w:val="auto"/>
          <w:kern w:val="0"/>
        </w:rPr>
        <w:t>8</w:t>
      </w:r>
      <w:r>
        <w:rPr>
          <w:rFonts w:hint="eastAsia" w:ascii="宋体" w:hAnsi="宋体"/>
          <w:snapToGrid w:val="0"/>
          <w:color w:val="auto"/>
          <w:kern w:val="0"/>
        </w:rPr>
        <w:t>）本工程在厂家深化设计及提供的配套系统和施工时应严格执行《城镇给水排水技术规范》</w:t>
      </w:r>
      <w:r>
        <w:rPr>
          <w:rFonts w:ascii="宋体" w:hAnsi="宋体"/>
          <w:snapToGrid w:val="0"/>
          <w:color w:val="auto"/>
          <w:kern w:val="0"/>
        </w:rPr>
        <w:t>GB50788-2012</w:t>
      </w:r>
      <w:r>
        <w:rPr>
          <w:rFonts w:hint="eastAsia" w:ascii="宋体" w:hAnsi="宋体"/>
          <w:snapToGrid w:val="0"/>
          <w:color w:val="auto"/>
          <w:kern w:val="0"/>
        </w:rPr>
        <w:t>第</w:t>
      </w:r>
      <w:r>
        <w:rPr>
          <w:rFonts w:ascii="宋体" w:hAnsi="宋体"/>
          <w:snapToGrid w:val="0"/>
          <w:color w:val="auto"/>
          <w:kern w:val="0"/>
        </w:rPr>
        <w:t>7.1</w:t>
      </w:r>
      <w:r>
        <w:rPr>
          <w:rFonts w:hint="eastAsia" w:ascii="宋体" w:hAnsi="宋体"/>
          <w:snapToGrid w:val="0"/>
          <w:color w:val="auto"/>
          <w:kern w:val="0"/>
        </w:rPr>
        <w:t>、</w:t>
      </w:r>
      <w:r>
        <w:rPr>
          <w:rFonts w:ascii="宋体" w:hAnsi="宋体"/>
          <w:snapToGrid w:val="0"/>
          <w:color w:val="auto"/>
          <w:kern w:val="0"/>
        </w:rPr>
        <w:t>7.3</w:t>
      </w:r>
      <w:r>
        <w:rPr>
          <w:rFonts w:hint="eastAsia" w:ascii="宋体" w:hAnsi="宋体"/>
          <w:snapToGrid w:val="0"/>
          <w:color w:val="auto"/>
          <w:kern w:val="0"/>
        </w:rPr>
        <w:t>、</w:t>
      </w:r>
      <w:r>
        <w:rPr>
          <w:rFonts w:ascii="宋体" w:hAnsi="宋体"/>
          <w:snapToGrid w:val="0"/>
          <w:color w:val="auto"/>
          <w:kern w:val="0"/>
        </w:rPr>
        <w:t>7.</w:t>
      </w:r>
      <w:r>
        <w:rPr>
          <w:rFonts w:ascii="宋体" w:hAnsi="宋体" w:cs="Times New Roman"/>
          <w:snapToGrid w:val="0"/>
          <w:color w:val="auto"/>
          <w:kern w:val="0"/>
        </w:rPr>
        <w:t>4</w:t>
      </w:r>
      <w:r>
        <w:rPr>
          <w:rFonts w:hint="eastAsia" w:ascii="宋体" w:hAnsi="宋体" w:cs="Times New Roman"/>
          <w:snapToGrid w:val="0"/>
          <w:color w:val="auto"/>
          <w:kern w:val="0"/>
        </w:rPr>
        <w:t>节</w:t>
      </w:r>
      <w:r>
        <w:rPr>
          <w:rFonts w:hint="eastAsia" w:ascii="宋体" w:hAnsi="宋体" w:cs="Times New Roman"/>
          <w:snapToGrid w:val="0"/>
          <w:color w:val="auto"/>
          <w:kern w:val="0"/>
          <w:lang w:eastAsia="zh-CN"/>
        </w:rPr>
        <w:t>。</w:t>
      </w:r>
    </w:p>
    <w:p w14:paraId="602E6204">
      <w:pPr>
        <w:pStyle w:val="71"/>
        <w:snapToGrid/>
        <w:ind w:firstLine="480"/>
        <w:rPr>
          <w:rFonts w:hint="eastAsia"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五、抗震论证专项说明</w:t>
      </w:r>
    </w:p>
    <w:p w14:paraId="0E1E7CAD">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（1）场地条件判断：根据地勘资料本项目所在地无不良地质构造，无液化土和软土地基等不良地质情况，适宜排水管道</w:t>
      </w:r>
      <w:r>
        <w:rPr>
          <w:rFonts w:hint="eastAsia" w:ascii="宋体" w:hAnsi="宋体" w:cs="Times New Roman"/>
          <w:snapToGrid w:val="0"/>
          <w:color w:val="auto"/>
          <w:kern w:val="0"/>
          <w:lang w:val="en-US" w:eastAsia="zh-CN"/>
        </w:rPr>
        <w:t>及污水站的</w:t>
      </w:r>
      <w:r>
        <w:rPr>
          <w:rFonts w:hint="eastAsia" w:ascii="宋体" w:hAnsi="宋体" w:cs="Times New Roman"/>
          <w:snapToGrid w:val="0"/>
          <w:color w:val="auto"/>
          <w:kern w:val="0"/>
        </w:rPr>
        <w:t>建设。</w:t>
      </w:r>
    </w:p>
    <w:p w14:paraId="06E6A0AD">
      <w:pPr>
        <w:pStyle w:val="71"/>
        <w:snapToGrid/>
        <w:ind w:firstLine="480"/>
        <w:rPr>
          <w:rFonts w:hint="eastAsia" w:ascii="宋体" w:hAnsi="宋体" w:eastAsia="宋体" w:cs="Times New Roman"/>
          <w:snapToGrid w:val="0"/>
          <w:color w:val="auto"/>
          <w:kern w:val="0"/>
          <w:lang w:eastAsia="zh-CN"/>
        </w:rPr>
      </w:pPr>
      <w:r>
        <w:rPr>
          <w:rFonts w:hint="eastAsia" w:ascii="宋体" w:hAnsi="宋体" w:cs="Times New Roman"/>
          <w:snapToGrid w:val="0"/>
          <w:color w:val="auto"/>
          <w:kern w:val="0"/>
        </w:rPr>
        <w:t>（2）本项目排水工程主要采用的管道结构及构造措施</w:t>
      </w:r>
      <w:r>
        <w:rPr>
          <w:rFonts w:hint="eastAsia" w:ascii="宋体" w:hAnsi="宋体" w:cs="Times New Roman"/>
          <w:snapToGrid w:val="0"/>
          <w:color w:val="auto"/>
          <w:kern w:val="0"/>
          <w:lang w:eastAsia="zh-CN"/>
        </w:rPr>
        <w:t>：</w:t>
      </w:r>
    </w:p>
    <w:p w14:paraId="2CC46CC4">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1）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6762A981">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lang w:val="en-US" w:eastAsia="zh-CN"/>
        </w:rPr>
        <w:t>2</w:t>
      </w:r>
      <w:r>
        <w:rPr>
          <w:rFonts w:hint="eastAsia" w:ascii="宋体" w:hAnsi="宋体" w:cs="Times New Roman"/>
          <w:snapToGrid w:val="0"/>
          <w:color w:val="auto"/>
          <w:kern w:val="0"/>
        </w:rPr>
        <w:t>）天然地基上的埋地管道，可不进行地基和基础的抗震验算；管道及检查井的选择满足设防烈度为6度，设计基本加速度峰值0.05g的地区使用。</w:t>
      </w:r>
    </w:p>
    <w:p w14:paraId="37DA3768">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lang w:val="en-US" w:eastAsia="zh-CN"/>
        </w:rPr>
        <w:t>3</w:t>
      </w:r>
      <w:r>
        <w:rPr>
          <w:rFonts w:hint="eastAsia" w:ascii="宋体" w:hAnsi="宋体" w:cs="Times New Roman"/>
          <w:snapToGrid w:val="0"/>
          <w:color w:val="auto"/>
          <w:kern w:val="0"/>
        </w:rPr>
        <w:t>）根据《室外给水排水和燃气热力工程抗震设计规范》(GB 50032</w:t>
      </w:r>
      <w:r>
        <w:rPr>
          <w:rFonts w:hint="eastAsia" w:ascii="宋体" w:hAnsi="宋体" w:cs="Times New Roman"/>
          <w:snapToGrid w:val="0"/>
          <w:color w:val="auto"/>
          <w:kern w:val="0"/>
          <w:lang w:val="en-US" w:eastAsia="zh-CN"/>
        </w:rPr>
        <w:t>-</w:t>
      </w:r>
      <w:r>
        <w:rPr>
          <w:rFonts w:hint="eastAsia" w:ascii="宋体" w:hAnsi="宋体" w:cs="Times New Roman"/>
          <w:snapToGrid w:val="0"/>
          <w:color w:val="auto"/>
          <w:kern w:val="0"/>
        </w:rPr>
        <w:t>2003)中10.1.4条的规定及抗震论证分析，本工程不对管道结构及检查井进行抗震验算。</w:t>
      </w:r>
    </w:p>
    <w:p w14:paraId="0DF19289">
      <w:pPr>
        <w:pStyle w:val="71"/>
        <w:snapToGrid/>
        <w:ind w:firstLine="480"/>
        <w:rPr>
          <w:rFonts w:hint="eastAsia"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六、“危大工程”专项说明</w:t>
      </w:r>
    </w:p>
    <w:p w14:paraId="5B6BDB18">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66F9F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3D4F3CC8">
            <w:pPr>
              <w:pStyle w:val="115"/>
              <w:spacing w:before="175"/>
              <w:ind w:left="165"/>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危险性分类</w:t>
            </w:r>
          </w:p>
        </w:tc>
        <w:tc>
          <w:tcPr>
            <w:tcW w:w="3119" w:type="dxa"/>
          </w:tcPr>
          <w:p w14:paraId="6D799010">
            <w:pPr>
              <w:pStyle w:val="115"/>
              <w:spacing w:before="175"/>
              <w:ind w:left="718"/>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分部分项工程范围</w:t>
            </w:r>
          </w:p>
        </w:tc>
        <w:tc>
          <w:tcPr>
            <w:tcW w:w="2836" w:type="dxa"/>
          </w:tcPr>
          <w:p w14:paraId="177B861B">
            <w:pPr>
              <w:pStyle w:val="115"/>
              <w:spacing w:before="175"/>
              <w:ind w:left="470"/>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对应本工程范围识别</w:t>
            </w:r>
          </w:p>
        </w:tc>
        <w:tc>
          <w:tcPr>
            <w:tcW w:w="2693" w:type="dxa"/>
          </w:tcPr>
          <w:p w14:paraId="466E9271">
            <w:pPr>
              <w:pStyle w:val="115"/>
              <w:spacing w:before="19"/>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对工程周边环境安全和工</w:t>
            </w:r>
          </w:p>
          <w:p w14:paraId="013FF02A">
            <w:pPr>
              <w:pStyle w:val="115"/>
              <w:spacing w:before="43"/>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程施工安全的意见</w:t>
            </w:r>
          </w:p>
        </w:tc>
      </w:tr>
      <w:tr w14:paraId="74913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051B33DE">
            <w:pPr>
              <w:pStyle w:val="115"/>
              <w:rPr>
                <w:rFonts w:hint="default" w:ascii="Times New Roman" w:hAnsi="Times New Roman" w:eastAsia="宋体" w:cs="Times New Roman"/>
                <w:color w:val="auto"/>
                <w:sz w:val="20"/>
              </w:rPr>
            </w:pPr>
          </w:p>
          <w:p w14:paraId="6AD7E2BE">
            <w:pPr>
              <w:pStyle w:val="115"/>
              <w:rPr>
                <w:rFonts w:hint="default" w:ascii="Times New Roman" w:hAnsi="Times New Roman" w:eastAsia="宋体" w:cs="Times New Roman"/>
                <w:color w:val="auto"/>
                <w:sz w:val="20"/>
              </w:rPr>
            </w:pPr>
          </w:p>
          <w:p w14:paraId="7F2B22CC">
            <w:pPr>
              <w:pStyle w:val="115"/>
              <w:rPr>
                <w:rFonts w:hint="default" w:ascii="Times New Roman" w:hAnsi="Times New Roman" w:eastAsia="宋体" w:cs="Times New Roman"/>
                <w:color w:val="auto"/>
                <w:sz w:val="20"/>
              </w:rPr>
            </w:pPr>
          </w:p>
          <w:p w14:paraId="0EDEC194">
            <w:pPr>
              <w:pStyle w:val="115"/>
              <w:spacing w:before="1"/>
              <w:rPr>
                <w:rFonts w:hint="default" w:ascii="Times New Roman" w:hAnsi="Times New Roman" w:eastAsia="宋体" w:cs="Times New Roman"/>
                <w:color w:val="auto"/>
                <w:sz w:val="29"/>
              </w:rPr>
            </w:pPr>
          </w:p>
          <w:p w14:paraId="1A112B01">
            <w:pPr>
              <w:pStyle w:val="115"/>
              <w:spacing w:before="1" w:line="278" w:lineRule="auto"/>
              <w:ind w:left="165" w:right="151"/>
              <w:jc w:val="both"/>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危险性较大的分部分项工程范围</w:t>
            </w:r>
          </w:p>
        </w:tc>
        <w:tc>
          <w:tcPr>
            <w:tcW w:w="3119" w:type="dxa"/>
          </w:tcPr>
          <w:p w14:paraId="3C0CCFBC">
            <w:pPr>
              <w:pStyle w:val="115"/>
              <w:spacing w:before="9"/>
              <w:rPr>
                <w:rFonts w:hint="default" w:ascii="Times New Roman" w:hAnsi="Times New Roman" w:eastAsia="宋体" w:cs="Times New Roman"/>
                <w:color w:val="auto"/>
                <w:sz w:val="15"/>
              </w:rPr>
            </w:pPr>
          </w:p>
          <w:p w14:paraId="10250A0A">
            <w:pPr>
              <w:pStyle w:val="115"/>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土方开挖工程</w:t>
            </w:r>
          </w:p>
          <w:p w14:paraId="512EE91B">
            <w:pPr>
              <w:pStyle w:val="115"/>
              <w:spacing w:before="43" w:line="278" w:lineRule="auto"/>
              <w:ind w:right="16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8"/>
                <w:sz w:val="21"/>
              </w:rPr>
              <w:t xml:space="preserve">开挖深度超过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27"/>
                <w:sz w:val="21"/>
              </w:rPr>
              <w:t xml:space="preserve">含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8"/>
                <w:sz w:val="21"/>
              </w:rPr>
              <w:t>的基</w:t>
            </w:r>
            <w:r>
              <w:rPr>
                <w:rFonts w:hint="default" w:ascii="Times New Roman" w:hAnsi="Times New Roman" w:eastAsia="宋体" w:cs="Times New Roman"/>
                <w:color w:val="auto"/>
                <w:sz w:val="21"/>
              </w:rPr>
              <w:t>坑（槽）的土方开挖工程。</w:t>
            </w:r>
          </w:p>
        </w:tc>
        <w:tc>
          <w:tcPr>
            <w:tcW w:w="2836" w:type="dxa"/>
          </w:tcPr>
          <w:p w14:paraId="39D1FA5E">
            <w:pPr>
              <w:pStyle w:val="115"/>
              <w:spacing w:before="9"/>
              <w:rPr>
                <w:rFonts w:hint="default" w:ascii="Times New Roman" w:hAnsi="Times New Roman" w:eastAsia="宋体" w:cs="Times New Roman"/>
                <w:color w:val="auto"/>
                <w:sz w:val="15"/>
              </w:rPr>
            </w:pPr>
          </w:p>
          <w:p w14:paraId="71456B33">
            <w:pPr>
              <w:pStyle w:val="115"/>
              <w:spacing w:line="278" w:lineRule="auto"/>
              <w:ind w:left="107" w:right="-15"/>
              <w:rPr>
                <w:rFonts w:hint="default" w:ascii="Times New Roman" w:hAnsi="Times New Roman" w:eastAsia="宋体" w:cs="Times New Roman"/>
                <w:color w:val="auto"/>
                <w:sz w:val="21"/>
              </w:rPr>
            </w:pPr>
            <w:r>
              <w:rPr>
                <w:rFonts w:hint="eastAsia" w:ascii="Times New Roman" w:hAnsi="Times New Roman" w:eastAsia="宋体" w:cs="Times New Roman"/>
                <w:color w:val="auto"/>
                <w:spacing w:val="-6"/>
                <w:sz w:val="21"/>
                <w:lang w:val="en-US" w:eastAsia="zh-CN"/>
              </w:rPr>
              <w:t>污水处理站</w:t>
            </w:r>
            <w:r>
              <w:rPr>
                <w:rFonts w:hint="default" w:ascii="Times New Roman" w:hAnsi="Times New Roman" w:eastAsia="宋体" w:cs="Times New Roman"/>
                <w:color w:val="auto"/>
                <w:spacing w:val="-6"/>
                <w:sz w:val="21"/>
              </w:rPr>
              <w:t xml:space="preserve">基坑开挖深度大于 </w:t>
            </w:r>
            <w:r>
              <w:rPr>
                <w:rFonts w:hint="default" w:ascii="Times New Roman" w:hAnsi="Times New Roman" w:eastAsia="宋体" w:cs="Times New Roman"/>
                <w:color w:val="auto"/>
                <w:sz w:val="21"/>
              </w:rPr>
              <w:t>3</w:t>
            </w:r>
            <w:r>
              <w:rPr>
                <w:rFonts w:hint="default" w:ascii="Times New Roman" w:hAnsi="Times New Roman" w:eastAsia="宋体" w:cs="Times New Roman"/>
                <w:color w:val="auto"/>
                <w:spacing w:val="-22"/>
                <w:sz w:val="21"/>
              </w:rPr>
              <w:t xml:space="preserve"> 米， </w:t>
            </w:r>
            <w:r>
              <w:rPr>
                <w:rFonts w:hint="default" w:ascii="Times New Roman" w:hAnsi="Times New Roman" w:eastAsia="宋体" w:cs="Times New Roman"/>
                <w:color w:val="auto"/>
                <w:sz w:val="21"/>
              </w:rPr>
              <w:t>且采用放坡开挖的管道沟</w:t>
            </w:r>
          </w:p>
          <w:p w14:paraId="7B9D9519">
            <w:pPr>
              <w:pStyle w:val="115"/>
              <w:spacing w:line="269" w:lineRule="exact"/>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槽。</w:t>
            </w:r>
          </w:p>
        </w:tc>
        <w:tc>
          <w:tcPr>
            <w:tcW w:w="2693" w:type="dxa"/>
            <w:vMerge w:val="restart"/>
          </w:tcPr>
          <w:p w14:paraId="2F099742">
            <w:pPr>
              <w:pStyle w:val="115"/>
              <w:spacing w:before="9" w:line="310" w:lineRule="atLeast"/>
              <w:ind w:left="105" w:right="98" w:firstLine="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施工单位应当在危大工程施工前组织工程技术</w:t>
            </w:r>
            <w:r>
              <w:rPr>
                <w:rFonts w:hint="default" w:ascii="Times New Roman" w:hAnsi="Times New Roman" w:eastAsia="宋体" w:cs="Times New Roman"/>
                <w:color w:val="auto"/>
                <w:spacing w:val="-5"/>
                <w:sz w:val="21"/>
              </w:rPr>
              <w:t>人员编制专项施工方案。此</w:t>
            </w:r>
            <w:r>
              <w:rPr>
                <w:rFonts w:hint="default" w:ascii="Times New Roman" w:hAnsi="Times New Roman" w:eastAsia="宋体" w:cs="Times New Roman"/>
                <w:color w:val="auto"/>
                <w:spacing w:val="-9"/>
                <w:sz w:val="21"/>
              </w:rPr>
              <w:t>外，还需严格遵循《市政工程施工组织设计规范》</w:t>
            </w:r>
            <w:r>
              <w:rPr>
                <w:rFonts w:hint="default" w:ascii="Times New Roman" w:hAnsi="Times New Roman" w:eastAsia="宋体" w:cs="Times New Roman"/>
                <w:color w:val="auto"/>
                <w:spacing w:val="-62"/>
                <w:sz w:val="21"/>
              </w:rPr>
              <w:t>、《城</w:t>
            </w:r>
            <w:r>
              <w:rPr>
                <w:rFonts w:hint="default" w:ascii="Times New Roman" w:hAnsi="Times New Roman" w:eastAsia="宋体" w:cs="Times New Roman"/>
                <w:color w:val="auto"/>
                <w:sz w:val="21"/>
              </w:rPr>
              <w:t>镇排水管道维护安全技术</w:t>
            </w:r>
            <w:r>
              <w:rPr>
                <w:rFonts w:hint="default" w:ascii="Times New Roman" w:hAnsi="Times New Roman" w:eastAsia="宋体" w:cs="Times New Roman"/>
                <w:color w:val="auto"/>
                <w:spacing w:val="-8"/>
                <w:sz w:val="21"/>
              </w:rPr>
              <w:t>规程》、《城镇排水管渠与泵站运行、维护及安全技术规程》以及国家现行相关法</w:t>
            </w:r>
            <w:r>
              <w:rPr>
                <w:rFonts w:hint="default" w:ascii="Times New Roman" w:hAnsi="Times New Roman" w:eastAsia="宋体" w:cs="Times New Roman"/>
                <w:color w:val="auto"/>
                <w:sz w:val="21"/>
              </w:rPr>
              <w:t>律法规、标准的规定。</w:t>
            </w:r>
          </w:p>
        </w:tc>
      </w:tr>
      <w:tr w14:paraId="219BD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5DC35481">
            <w:pPr>
              <w:rPr>
                <w:rFonts w:hint="default" w:ascii="Times New Roman" w:hAnsi="Times New Roman" w:eastAsia="宋体" w:cs="Times New Roman"/>
                <w:color w:val="auto"/>
                <w:sz w:val="2"/>
                <w:szCs w:val="2"/>
              </w:rPr>
            </w:pPr>
          </w:p>
        </w:tc>
        <w:tc>
          <w:tcPr>
            <w:tcW w:w="3119" w:type="dxa"/>
          </w:tcPr>
          <w:p w14:paraId="628681D2">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起重吊装及安装拆卸工程</w:t>
            </w:r>
          </w:p>
          <w:p w14:paraId="286CE571">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2"/>
                <w:sz w:val="21"/>
                <w:lang w:val="en-US" w:eastAsia="zh-CN"/>
              </w:rPr>
              <w:t>1.</w:t>
            </w:r>
            <w:r>
              <w:rPr>
                <w:rFonts w:hint="default" w:ascii="Times New Roman" w:hAnsi="Times New Roman" w:eastAsia="宋体" w:cs="Times New Roman"/>
                <w:color w:val="auto"/>
                <w:spacing w:val="-2"/>
                <w:sz w:val="21"/>
              </w:rPr>
              <w:t xml:space="preserve">采用非常规起重设备、方法， </w:t>
            </w:r>
            <w:r>
              <w:rPr>
                <w:rFonts w:hint="default" w:ascii="Times New Roman" w:hAnsi="Times New Roman" w:eastAsia="宋体" w:cs="Times New Roman"/>
                <w:color w:val="auto"/>
                <w:spacing w:val="-6"/>
                <w:sz w:val="21"/>
              </w:rPr>
              <w:t xml:space="preserve">且单件起吊重量在 </w:t>
            </w:r>
            <w:r>
              <w:rPr>
                <w:rFonts w:hint="default" w:ascii="Times New Roman" w:hAnsi="Times New Roman" w:eastAsia="宋体" w:cs="Times New Roman"/>
                <w:color w:val="auto"/>
                <w:sz w:val="21"/>
              </w:rPr>
              <w:t>10kN</w:t>
            </w:r>
            <w:r>
              <w:rPr>
                <w:rFonts w:hint="default" w:ascii="Times New Roman" w:hAnsi="Times New Roman" w:eastAsia="宋体" w:cs="Times New Roman"/>
                <w:color w:val="auto"/>
                <w:spacing w:val="-14"/>
                <w:sz w:val="21"/>
              </w:rPr>
              <w:t xml:space="preserve"> 及以上的起重吊装工程。</w:t>
            </w:r>
          </w:p>
          <w:p w14:paraId="7CFFBD4E">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14"/>
                <w:sz w:val="21"/>
              </w:rPr>
              <w:t>2.采用起重机械进行安装的工程。</w:t>
            </w:r>
          </w:p>
          <w:p w14:paraId="17425900">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3.起重机械设备自身的安装、拆</w:t>
            </w:r>
          </w:p>
          <w:p w14:paraId="1C2B1A2B">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z w:val="21"/>
              </w:rPr>
              <w:t>卸。</w:t>
            </w:r>
          </w:p>
        </w:tc>
        <w:tc>
          <w:tcPr>
            <w:tcW w:w="2836" w:type="dxa"/>
          </w:tcPr>
          <w:p w14:paraId="0ED5BE9F">
            <w:pPr>
              <w:pStyle w:val="115"/>
              <w:rPr>
                <w:rFonts w:hint="default" w:ascii="Times New Roman" w:hAnsi="Times New Roman" w:eastAsia="宋体" w:cs="Times New Roman"/>
                <w:color w:val="auto"/>
                <w:sz w:val="20"/>
              </w:rPr>
            </w:pPr>
          </w:p>
          <w:p w14:paraId="621A9574">
            <w:pPr>
              <w:pStyle w:val="115"/>
              <w:rPr>
                <w:rFonts w:hint="default" w:ascii="Times New Roman" w:hAnsi="Times New Roman" w:eastAsia="宋体" w:cs="Times New Roman"/>
                <w:color w:val="auto"/>
                <w:sz w:val="20"/>
              </w:rPr>
            </w:pPr>
          </w:p>
          <w:p w14:paraId="0DF2FD17">
            <w:pPr>
              <w:pStyle w:val="115"/>
              <w:spacing w:before="5"/>
              <w:rPr>
                <w:rFonts w:hint="default" w:ascii="Times New Roman" w:hAnsi="Times New Roman" w:eastAsia="宋体" w:cs="Times New Roman"/>
                <w:color w:val="auto"/>
                <w:sz w:val="22"/>
              </w:rPr>
            </w:pPr>
          </w:p>
          <w:p w14:paraId="4B1C20C3">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整体设备吊装。</w:t>
            </w:r>
          </w:p>
        </w:tc>
        <w:tc>
          <w:tcPr>
            <w:tcW w:w="2693" w:type="dxa"/>
            <w:vMerge w:val="continue"/>
          </w:tcPr>
          <w:p w14:paraId="2D7D306A">
            <w:pPr>
              <w:rPr>
                <w:rFonts w:hint="default" w:ascii="Times New Roman" w:hAnsi="Times New Roman" w:eastAsia="宋体" w:cs="Times New Roman"/>
                <w:color w:val="auto"/>
                <w:sz w:val="2"/>
                <w:szCs w:val="2"/>
              </w:rPr>
            </w:pPr>
          </w:p>
        </w:tc>
      </w:tr>
      <w:tr w14:paraId="7AE1F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0F693A87">
            <w:pPr>
              <w:rPr>
                <w:rFonts w:hint="default" w:ascii="Times New Roman" w:hAnsi="Times New Roman" w:eastAsia="宋体" w:cs="Times New Roman"/>
                <w:color w:val="auto"/>
                <w:sz w:val="2"/>
                <w:szCs w:val="2"/>
              </w:rPr>
            </w:pPr>
          </w:p>
        </w:tc>
        <w:tc>
          <w:tcPr>
            <w:tcW w:w="3119" w:type="dxa"/>
          </w:tcPr>
          <w:p w14:paraId="0A98E4C8">
            <w:pPr>
              <w:pStyle w:val="115"/>
              <w:spacing w:before="19"/>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模板工程及支撑体系</w:t>
            </w:r>
          </w:p>
          <w:p w14:paraId="7E0D6132">
            <w:pPr>
              <w:pStyle w:val="115"/>
              <w:numPr>
                <w:ilvl w:val="0"/>
                <w:numId w:val="0"/>
              </w:numPr>
              <w:spacing w:before="2" w:line="310" w:lineRule="atLeast"/>
              <w:ind w:right="60" w:rightChars="0"/>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11"/>
                <w:sz w:val="21"/>
              </w:rPr>
              <w:t xml:space="preserve">搭设高度 </w:t>
            </w:r>
            <w:r>
              <w:rPr>
                <w:rFonts w:hint="default" w:ascii="Times New Roman" w:hAnsi="Times New Roman" w:eastAsia="宋体" w:cs="Times New Roman"/>
                <w:color w:val="auto"/>
                <w:sz w:val="21"/>
              </w:rPr>
              <w:t>5m</w:t>
            </w:r>
            <w:r>
              <w:rPr>
                <w:rFonts w:hint="default" w:ascii="Times New Roman" w:hAnsi="Times New Roman" w:eastAsia="宋体" w:cs="Times New Roman"/>
                <w:color w:val="auto"/>
                <w:spacing w:val="-9"/>
                <w:sz w:val="21"/>
              </w:rPr>
              <w:t xml:space="preserve"> 及以上的混凝土模</w:t>
            </w:r>
            <w:r>
              <w:rPr>
                <w:rFonts w:hint="default" w:ascii="Times New Roman" w:hAnsi="Times New Roman" w:eastAsia="宋体" w:cs="Times New Roman"/>
                <w:color w:val="auto"/>
                <w:sz w:val="21"/>
              </w:rPr>
              <w:t>板</w:t>
            </w:r>
          </w:p>
        </w:tc>
        <w:tc>
          <w:tcPr>
            <w:tcW w:w="2836" w:type="dxa"/>
          </w:tcPr>
          <w:p w14:paraId="548B4818">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检查井、跌水井等构筑物的模板工程</w:t>
            </w:r>
          </w:p>
        </w:tc>
        <w:tc>
          <w:tcPr>
            <w:tcW w:w="2693" w:type="dxa"/>
            <w:vMerge w:val="continue"/>
          </w:tcPr>
          <w:p w14:paraId="5115A0CD">
            <w:pPr>
              <w:rPr>
                <w:rFonts w:hint="default" w:ascii="Times New Roman" w:hAnsi="Times New Roman" w:eastAsia="宋体" w:cs="Times New Roman"/>
                <w:color w:val="auto"/>
                <w:sz w:val="2"/>
                <w:szCs w:val="2"/>
              </w:rPr>
            </w:pPr>
          </w:p>
        </w:tc>
      </w:tr>
    </w:tbl>
    <w:p w14:paraId="4FF3CC0D">
      <w:pPr>
        <w:pStyle w:val="71"/>
        <w:snapToGrid/>
        <w:ind w:firstLine="480"/>
        <w:rPr>
          <w:rFonts w:hint="eastAsia" w:ascii="宋体" w:hAnsi="宋体" w:cs="Times New Roman"/>
          <w:snapToGrid w:val="0"/>
          <w:color w:val="auto"/>
          <w:kern w:val="0"/>
        </w:rPr>
      </w:pPr>
    </w:p>
    <w:p w14:paraId="10B292DC">
      <w:pPr>
        <w:pStyle w:val="71"/>
        <w:snapToGrid/>
        <w:ind w:firstLine="480"/>
        <w:rPr>
          <w:rFonts w:hint="eastAsia" w:ascii="宋体" w:hAnsi="宋体" w:cs="Times New Roman"/>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060EB">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1BF24F6">
    <w:pPr>
      <w:pStyle w:val="29"/>
      <w:ind w:firstLine="172" w:firstLineChars="100"/>
      <w:rPr>
        <w:rFonts w:ascii="宋体" w:hAnsi="宋体"/>
        <w:b/>
        <w:bCs/>
        <w:w w:val="95"/>
        <w:szCs w:val="18"/>
      </w:rPr>
    </w:pPr>
    <w:r>
      <w:rPr>
        <w:rFonts w:ascii="宋体" w:hAnsi="宋体"/>
        <w:b/>
        <w:bCs/>
        <w:w w:val="95"/>
        <w:szCs w:val="18"/>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lang w:val="en-US" w:eastAsia="zh-CN"/>
      </w:rPr>
      <w:t>2025.10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EEC79">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3C11A5FA">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906B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bCs/>
        <w:snapToGrid w:val="0"/>
        <w:kern w:val="0"/>
        <w:sz w:val="21"/>
        <w:szCs w:val="21"/>
      </w:rPr>
      <w:t>桂林市漓江干支流“消劣返清”项目（象山区平山新村）</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F5EABE99"/>
    <w:multiLevelType w:val="singleLevel"/>
    <w:tmpl w:val="F5EABE99"/>
    <w:lvl w:ilvl="0" w:tentative="0">
      <w:start w:val="2"/>
      <w:numFmt w:val="decimal"/>
      <w:suff w:val="nothing"/>
      <w:lvlText w:val="（%1）"/>
      <w:lvlJc w:val="left"/>
    </w:lvl>
  </w:abstractNum>
  <w:abstractNum w:abstractNumId="3">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MTM3NzNkMDY4ZTFkZTU2NThmYjFiNGE5OThiMjU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2D43"/>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551886"/>
    <w:rsid w:val="036057A9"/>
    <w:rsid w:val="04CE42F4"/>
    <w:rsid w:val="04EB6681"/>
    <w:rsid w:val="052238F1"/>
    <w:rsid w:val="05295E06"/>
    <w:rsid w:val="058A4BA6"/>
    <w:rsid w:val="06053772"/>
    <w:rsid w:val="067D42C5"/>
    <w:rsid w:val="06825BC8"/>
    <w:rsid w:val="075524E1"/>
    <w:rsid w:val="081A317C"/>
    <w:rsid w:val="085D509A"/>
    <w:rsid w:val="085D5A38"/>
    <w:rsid w:val="0871260D"/>
    <w:rsid w:val="08C90A87"/>
    <w:rsid w:val="08D51E2B"/>
    <w:rsid w:val="08F024B8"/>
    <w:rsid w:val="093E76C7"/>
    <w:rsid w:val="09D3641B"/>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5A03D3"/>
    <w:rsid w:val="0E937FF7"/>
    <w:rsid w:val="0FE33DCD"/>
    <w:rsid w:val="108530A7"/>
    <w:rsid w:val="10B77E6D"/>
    <w:rsid w:val="10BB6702"/>
    <w:rsid w:val="11336630"/>
    <w:rsid w:val="113E55BE"/>
    <w:rsid w:val="117F6ACF"/>
    <w:rsid w:val="118A126C"/>
    <w:rsid w:val="130E1775"/>
    <w:rsid w:val="13570F7E"/>
    <w:rsid w:val="137F3D98"/>
    <w:rsid w:val="13F51A1C"/>
    <w:rsid w:val="14180FFC"/>
    <w:rsid w:val="15007F26"/>
    <w:rsid w:val="15341A0C"/>
    <w:rsid w:val="161404C8"/>
    <w:rsid w:val="16182089"/>
    <w:rsid w:val="16DC2070"/>
    <w:rsid w:val="17265757"/>
    <w:rsid w:val="17AE3C6A"/>
    <w:rsid w:val="17C57E8F"/>
    <w:rsid w:val="17E625C2"/>
    <w:rsid w:val="18542BF6"/>
    <w:rsid w:val="18EB43EE"/>
    <w:rsid w:val="198704A9"/>
    <w:rsid w:val="19915C39"/>
    <w:rsid w:val="19A13696"/>
    <w:rsid w:val="19BA76AA"/>
    <w:rsid w:val="1A0B6E3B"/>
    <w:rsid w:val="1A264176"/>
    <w:rsid w:val="1A7D4B85"/>
    <w:rsid w:val="1B745D3C"/>
    <w:rsid w:val="1BD53553"/>
    <w:rsid w:val="1C037E84"/>
    <w:rsid w:val="1C0814D0"/>
    <w:rsid w:val="1D5D528E"/>
    <w:rsid w:val="1DA03128"/>
    <w:rsid w:val="1DBE2CC9"/>
    <w:rsid w:val="1DF41EBB"/>
    <w:rsid w:val="1E971126"/>
    <w:rsid w:val="1EE00BA0"/>
    <w:rsid w:val="1EEC20DC"/>
    <w:rsid w:val="1F5C4703"/>
    <w:rsid w:val="1FEA77EE"/>
    <w:rsid w:val="202C706E"/>
    <w:rsid w:val="204D274A"/>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1969C0"/>
    <w:rsid w:val="261A0CFB"/>
    <w:rsid w:val="265E1A78"/>
    <w:rsid w:val="273121C1"/>
    <w:rsid w:val="27E17743"/>
    <w:rsid w:val="289D0900"/>
    <w:rsid w:val="28B9453D"/>
    <w:rsid w:val="295E35EE"/>
    <w:rsid w:val="299A14B8"/>
    <w:rsid w:val="29EE2B1E"/>
    <w:rsid w:val="2A2C7042"/>
    <w:rsid w:val="2A97058D"/>
    <w:rsid w:val="2A994305"/>
    <w:rsid w:val="2B2B3391"/>
    <w:rsid w:val="2BF37A45"/>
    <w:rsid w:val="2C392CFB"/>
    <w:rsid w:val="2C4B74B9"/>
    <w:rsid w:val="2C7824B8"/>
    <w:rsid w:val="2C7C5C8D"/>
    <w:rsid w:val="2C840FE5"/>
    <w:rsid w:val="2C971B37"/>
    <w:rsid w:val="2D0637CB"/>
    <w:rsid w:val="2D7E3C6F"/>
    <w:rsid w:val="2DE7548B"/>
    <w:rsid w:val="2DF45BAB"/>
    <w:rsid w:val="2E1E06B9"/>
    <w:rsid w:val="2EB95B8D"/>
    <w:rsid w:val="2EC31307"/>
    <w:rsid w:val="2EED420A"/>
    <w:rsid w:val="2FB06ABD"/>
    <w:rsid w:val="2FF16036"/>
    <w:rsid w:val="30881286"/>
    <w:rsid w:val="31AE7611"/>
    <w:rsid w:val="31CD1F13"/>
    <w:rsid w:val="31CD6F8B"/>
    <w:rsid w:val="31E87920"/>
    <w:rsid w:val="326F1DF0"/>
    <w:rsid w:val="33AB19A1"/>
    <w:rsid w:val="33ED0FA4"/>
    <w:rsid w:val="349A34DB"/>
    <w:rsid w:val="350C0143"/>
    <w:rsid w:val="35167599"/>
    <w:rsid w:val="358856A2"/>
    <w:rsid w:val="358F6F80"/>
    <w:rsid w:val="35A2652B"/>
    <w:rsid w:val="36EE7787"/>
    <w:rsid w:val="37666470"/>
    <w:rsid w:val="379E4EE8"/>
    <w:rsid w:val="37D422F0"/>
    <w:rsid w:val="37DA2CD3"/>
    <w:rsid w:val="37FE39FA"/>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402E3A57"/>
    <w:rsid w:val="411424E0"/>
    <w:rsid w:val="412B2133"/>
    <w:rsid w:val="42415A41"/>
    <w:rsid w:val="4278399C"/>
    <w:rsid w:val="435C1F1C"/>
    <w:rsid w:val="43911EEB"/>
    <w:rsid w:val="44711559"/>
    <w:rsid w:val="45034073"/>
    <w:rsid w:val="465A30B5"/>
    <w:rsid w:val="46731A57"/>
    <w:rsid w:val="468E2DF0"/>
    <w:rsid w:val="47777325"/>
    <w:rsid w:val="477828A6"/>
    <w:rsid w:val="47D660E6"/>
    <w:rsid w:val="485C5346"/>
    <w:rsid w:val="486C2146"/>
    <w:rsid w:val="492E6109"/>
    <w:rsid w:val="499274DA"/>
    <w:rsid w:val="499B7A2D"/>
    <w:rsid w:val="4A1E7F2C"/>
    <w:rsid w:val="4AED5861"/>
    <w:rsid w:val="4B6A71C8"/>
    <w:rsid w:val="4BBC7EBE"/>
    <w:rsid w:val="4BE25B8D"/>
    <w:rsid w:val="4C54555A"/>
    <w:rsid w:val="4C632C63"/>
    <w:rsid w:val="4CCF7D94"/>
    <w:rsid w:val="4D4F1574"/>
    <w:rsid w:val="4D873744"/>
    <w:rsid w:val="4E4174EA"/>
    <w:rsid w:val="4F1A68AA"/>
    <w:rsid w:val="4FA7753C"/>
    <w:rsid w:val="4FC313D4"/>
    <w:rsid w:val="50353F16"/>
    <w:rsid w:val="5075308D"/>
    <w:rsid w:val="50E23A41"/>
    <w:rsid w:val="50EB16C1"/>
    <w:rsid w:val="51640797"/>
    <w:rsid w:val="51A70A76"/>
    <w:rsid w:val="529F2C8A"/>
    <w:rsid w:val="52A36879"/>
    <w:rsid w:val="52F74381"/>
    <w:rsid w:val="52F92B19"/>
    <w:rsid w:val="53427D28"/>
    <w:rsid w:val="538C4198"/>
    <w:rsid w:val="544662D1"/>
    <w:rsid w:val="54586543"/>
    <w:rsid w:val="54722618"/>
    <w:rsid w:val="54AB5C18"/>
    <w:rsid w:val="54D74114"/>
    <w:rsid w:val="55216D61"/>
    <w:rsid w:val="558319C8"/>
    <w:rsid w:val="55837D8D"/>
    <w:rsid w:val="55C37BD9"/>
    <w:rsid w:val="55ED318A"/>
    <w:rsid w:val="564D1333"/>
    <w:rsid w:val="567B29ED"/>
    <w:rsid w:val="56A372C2"/>
    <w:rsid w:val="56C708EE"/>
    <w:rsid w:val="570F1328"/>
    <w:rsid w:val="57485060"/>
    <w:rsid w:val="574F4B46"/>
    <w:rsid w:val="5750190B"/>
    <w:rsid w:val="57512AED"/>
    <w:rsid w:val="57CB482C"/>
    <w:rsid w:val="585E53A5"/>
    <w:rsid w:val="58B804A7"/>
    <w:rsid w:val="58E22142"/>
    <w:rsid w:val="59485E82"/>
    <w:rsid w:val="59723D50"/>
    <w:rsid w:val="598900F2"/>
    <w:rsid w:val="5A024F2B"/>
    <w:rsid w:val="5A7960FA"/>
    <w:rsid w:val="5AC24977"/>
    <w:rsid w:val="5CBB101A"/>
    <w:rsid w:val="5CC2663A"/>
    <w:rsid w:val="5D493206"/>
    <w:rsid w:val="5D6F7A58"/>
    <w:rsid w:val="5D9E0A8E"/>
    <w:rsid w:val="5E0771FD"/>
    <w:rsid w:val="5ECE3876"/>
    <w:rsid w:val="5FA33F6B"/>
    <w:rsid w:val="60D94755"/>
    <w:rsid w:val="60E17630"/>
    <w:rsid w:val="61386D25"/>
    <w:rsid w:val="61814C13"/>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F818FB"/>
    <w:rsid w:val="679C0226"/>
    <w:rsid w:val="67DC30AB"/>
    <w:rsid w:val="67F30197"/>
    <w:rsid w:val="68255344"/>
    <w:rsid w:val="68D62580"/>
    <w:rsid w:val="68E34F08"/>
    <w:rsid w:val="69214FBE"/>
    <w:rsid w:val="694E0D13"/>
    <w:rsid w:val="69ED3B18"/>
    <w:rsid w:val="6A4D7BF3"/>
    <w:rsid w:val="6A53447E"/>
    <w:rsid w:val="6AAE3F86"/>
    <w:rsid w:val="6B01589B"/>
    <w:rsid w:val="6B6D29CC"/>
    <w:rsid w:val="6B7845E0"/>
    <w:rsid w:val="6C663887"/>
    <w:rsid w:val="6D233C50"/>
    <w:rsid w:val="6D583CC9"/>
    <w:rsid w:val="6D855A48"/>
    <w:rsid w:val="6E1B3FDF"/>
    <w:rsid w:val="6E3B20F7"/>
    <w:rsid w:val="6E5B2C4D"/>
    <w:rsid w:val="6EA50F15"/>
    <w:rsid w:val="6EC64319"/>
    <w:rsid w:val="6F073538"/>
    <w:rsid w:val="6F1C23DC"/>
    <w:rsid w:val="704F50FD"/>
    <w:rsid w:val="7085186D"/>
    <w:rsid w:val="70D32F6E"/>
    <w:rsid w:val="70DA42FD"/>
    <w:rsid w:val="713733A4"/>
    <w:rsid w:val="715300CA"/>
    <w:rsid w:val="71631801"/>
    <w:rsid w:val="71C92D3B"/>
    <w:rsid w:val="71E45191"/>
    <w:rsid w:val="72420985"/>
    <w:rsid w:val="72C70C29"/>
    <w:rsid w:val="72FC52BF"/>
    <w:rsid w:val="74084178"/>
    <w:rsid w:val="742A3BBB"/>
    <w:rsid w:val="74964153"/>
    <w:rsid w:val="752175BA"/>
    <w:rsid w:val="75D615E0"/>
    <w:rsid w:val="75F0310B"/>
    <w:rsid w:val="75F34F11"/>
    <w:rsid w:val="760630B0"/>
    <w:rsid w:val="770A4EDC"/>
    <w:rsid w:val="77324E93"/>
    <w:rsid w:val="7770053A"/>
    <w:rsid w:val="787A3217"/>
    <w:rsid w:val="7899684C"/>
    <w:rsid w:val="78B0289F"/>
    <w:rsid w:val="78B517E1"/>
    <w:rsid w:val="78D14FC6"/>
    <w:rsid w:val="795D3D1D"/>
    <w:rsid w:val="79763919"/>
    <w:rsid w:val="79817A0B"/>
    <w:rsid w:val="79CB2893"/>
    <w:rsid w:val="79CC7F63"/>
    <w:rsid w:val="79E11C7D"/>
    <w:rsid w:val="7A073617"/>
    <w:rsid w:val="7B431D92"/>
    <w:rsid w:val="7B890DF9"/>
    <w:rsid w:val="7B95754E"/>
    <w:rsid w:val="7BC474F6"/>
    <w:rsid w:val="7BF22E42"/>
    <w:rsid w:val="7C574A54"/>
    <w:rsid w:val="7D524288"/>
    <w:rsid w:val="7DC93C6B"/>
    <w:rsid w:val="7DDA3B8E"/>
    <w:rsid w:val="7E4A0D41"/>
    <w:rsid w:val="7EA45F4A"/>
    <w:rsid w:val="7EBD7EE7"/>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4</Pages>
  <Words>4181</Words>
  <Characters>4955</Characters>
  <Lines>35</Lines>
  <Paragraphs>10</Paragraphs>
  <TotalTime>7</TotalTime>
  <ScaleCrop>false</ScaleCrop>
  <LinksUpToDate>false</LinksUpToDate>
  <CharactersWithSpaces>4987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2025-11-01T07:34:14Z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9447D17F4BD64299BD03139155C52D85</vt:lpwstr>
  </property>
  <property fmtid="{D5CDD505-2E9C-101B-9397-08002B2CF9AE}" pid="4" name="KSOTemplateDocerSaveRecord">
    <vt:lpwstr>eyJoZGlkIjoiY2Q5MTM3NzNkMDY4ZTFkZTU2NThmYjFiNGE5OThiMjUiLCJ1c2VySWQiOiIxMTg1NDg1NDU3In0=</vt:lpwstr>
  </property>
</Properties>
</file>